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22F23" w14:textId="216DB2C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00040B12">
        <w:t>bis</w:t>
      </w:r>
      <w:r w:rsidRPr="00CE0424">
        <w:tab/>
      </w:r>
      <w:r w:rsidRPr="00CE0424">
        <w:rPr>
          <w:sz w:val="32"/>
          <w:szCs w:val="32"/>
        </w:rPr>
        <w:t>Tdoc R2-1</w:t>
      </w:r>
      <w:r>
        <w:rPr>
          <w:sz w:val="32"/>
          <w:szCs w:val="32"/>
        </w:rPr>
        <w:t>7</w:t>
      </w:r>
      <w:r w:rsidR="00BA4205">
        <w:rPr>
          <w:sz w:val="32"/>
          <w:szCs w:val="32"/>
        </w:rPr>
        <w:t>11185</w:t>
      </w:r>
    </w:p>
    <w:p w14:paraId="34C7112E"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53EAE5C8" w14:textId="77777777" w:rsidR="00E90E49" w:rsidRPr="00CE0424" w:rsidRDefault="00E90E49" w:rsidP="00357380">
      <w:pPr>
        <w:pStyle w:val="3GPPHeader"/>
      </w:pPr>
    </w:p>
    <w:p w14:paraId="757DFBDA" w14:textId="00C8717C" w:rsidR="00E90E49" w:rsidRPr="00FF6CB1" w:rsidRDefault="00E90E49" w:rsidP="00311702">
      <w:pPr>
        <w:pStyle w:val="3GPPHeader"/>
        <w:rPr>
          <w:sz w:val="22"/>
          <w:lang w:val="en-US"/>
        </w:rPr>
      </w:pPr>
      <w:r w:rsidRPr="00FF6CB1">
        <w:rPr>
          <w:sz w:val="22"/>
          <w:lang w:val="en-US"/>
        </w:rPr>
        <w:t>Agenda Item:</w:t>
      </w:r>
      <w:r w:rsidRPr="00FF6CB1">
        <w:rPr>
          <w:sz w:val="22"/>
          <w:lang w:val="en-US"/>
        </w:rPr>
        <w:tab/>
      </w:r>
      <w:r w:rsidR="00BA4205" w:rsidRPr="00FF6CB1">
        <w:rPr>
          <w:sz w:val="22"/>
          <w:lang w:val="en-US"/>
        </w:rPr>
        <w:t>10.3.1.6</w:t>
      </w:r>
    </w:p>
    <w:p w14:paraId="7D33BDFF"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50CDDBE" w14:textId="1CD88B6D" w:rsidR="00E90E49" w:rsidRPr="00BA4205" w:rsidRDefault="003D3C45" w:rsidP="00311702">
      <w:pPr>
        <w:pStyle w:val="3GPPHeader"/>
        <w:rPr>
          <w:sz w:val="22"/>
        </w:rPr>
      </w:pPr>
      <w:r>
        <w:rPr>
          <w:sz w:val="22"/>
        </w:rPr>
        <w:t>Title:</w:t>
      </w:r>
      <w:r w:rsidR="00E90E49" w:rsidRPr="00CE0424">
        <w:rPr>
          <w:sz w:val="22"/>
        </w:rPr>
        <w:tab/>
      </w:r>
      <w:r w:rsidR="00BA4205" w:rsidRPr="00BA4205">
        <w:rPr>
          <w:sz w:val="22"/>
        </w:rPr>
        <w:t>BSR Text proposal</w:t>
      </w:r>
    </w:p>
    <w:p w14:paraId="19A3907A" w14:textId="2C587F83" w:rsidR="00E90E49" w:rsidRDefault="00E90E49" w:rsidP="00D546FF">
      <w:pPr>
        <w:pStyle w:val="3GPPHeader"/>
        <w:rPr>
          <w:sz w:val="22"/>
        </w:rPr>
      </w:pPr>
      <w:r w:rsidRPr="00BA4205">
        <w:rPr>
          <w:sz w:val="22"/>
        </w:rPr>
        <w:t>Document for:</w:t>
      </w:r>
      <w:r w:rsidRPr="00BA4205">
        <w:rPr>
          <w:sz w:val="22"/>
        </w:rPr>
        <w:tab/>
        <w:t>Discussion, Decision</w:t>
      </w:r>
    </w:p>
    <w:p w14:paraId="5A20858D" w14:textId="77777777" w:rsidR="00D67253" w:rsidRDefault="00D67253" w:rsidP="00D546FF">
      <w:pPr>
        <w:pStyle w:val="3GPPHeader"/>
        <w:rPr>
          <w:sz w:val="22"/>
        </w:rPr>
      </w:pPr>
    </w:p>
    <w:p w14:paraId="1CEFB95A" w14:textId="77777777" w:rsidR="00C24345" w:rsidRDefault="00E90E49" w:rsidP="00A2052C">
      <w:pPr>
        <w:pStyle w:val="Heading1"/>
      </w:pPr>
      <w:r w:rsidRPr="00CE0424">
        <w:t>Introduction</w:t>
      </w:r>
    </w:p>
    <w:p w14:paraId="33A67D39" w14:textId="4A7344B9" w:rsidR="00A2052C" w:rsidRDefault="00BA4205" w:rsidP="00A2052C">
      <w:r>
        <w:t>In this paper we provide a text proposal to cover the issues addressed in [</w:t>
      </w:r>
      <w:r w:rsidR="00D67253">
        <w:t>1] and [2]</w:t>
      </w:r>
      <w:r>
        <w:t>. Some additional text have also been added from 36.321 covering:</w:t>
      </w:r>
    </w:p>
    <w:p w14:paraId="40E6863E" w14:textId="06742EC5" w:rsidR="00BA4205" w:rsidRPr="00A2052C" w:rsidRDefault="00BA4205" w:rsidP="00BA4205">
      <w:pPr>
        <w:pStyle w:val="B1"/>
      </w:pPr>
      <w:r>
        <w:t>-</w:t>
      </w:r>
      <w:r>
        <w:tab/>
        <w:t>Handling of BSR for suspended bearers.</w:t>
      </w:r>
    </w:p>
    <w:p w14:paraId="151ED125" w14:textId="638E9B53" w:rsidR="004000E8" w:rsidRPr="00CE0424" w:rsidRDefault="00950876" w:rsidP="00CE0424">
      <w:pPr>
        <w:pStyle w:val="Heading1"/>
      </w:pPr>
      <w:bookmarkStart w:id="0" w:name="_Ref178064866"/>
      <w:r>
        <w:t>Text proposal for TS 38.321</w:t>
      </w:r>
      <w:bookmarkEnd w:id="0"/>
    </w:p>
    <w:p w14:paraId="1E93AB48" w14:textId="77777777" w:rsidR="00BA4205" w:rsidRDefault="00BA4205" w:rsidP="00BA4205">
      <w:pPr>
        <w:pStyle w:val="Heading3"/>
        <w:numPr>
          <w:ilvl w:val="0"/>
          <w:numId w:val="0"/>
        </w:numPr>
        <w:ind w:left="720" w:hanging="720"/>
        <w:rPr>
          <w:lang w:eastAsia="ko-KR"/>
        </w:rPr>
      </w:pPr>
      <w:r w:rsidRPr="005C2C66">
        <w:rPr>
          <w:lang w:eastAsia="ko-KR"/>
        </w:rPr>
        <w:t>5.4.</w:t>
      </w:r>
      <w:r>
        <w:rPr>
          <w:rFonts w:hint="eastAsia"/>
          <w:lang w:eastAsia="ko-KR"/>
        </w:rPr>
        <w:t>5</w:t>
      </w:r>
      <w:r w:rsidRPr="005C2C66">
        <w:rPr>
          <w:lang w:eastAsia="ko-KR"/>
        </w:rPr>
        <w:tab/>
        <w:t>Buffer Status Reporting</w:t>
      </w:r>
    </w:p>
    <w:p w14:paraId="221E9BA9" w14:textId="77777777" w:rsidR="00BA4205" w:rsidRDefault="00BA4205" w:rsidP="00BA4205">
      <w:pPr>
        <w:rPr>
          <w:lang w:eastAsia="ko-KR"/>
        </w:rPr>
      </w:pPr>
      <w:r w:rsidRPr="00632183">
        <w:rPr>
          <w:lang w:eastAsia="ko-KR"/>
        </w:rPr>
        <w:t xml:space="preserve">The Buffer Status reporting procedure is used to provide the serving </w:t>
      </w:r>
      <w:r>
        <w:rPr>
          <w:rFonts w:hint="eastAsia"/>
          <w:lang w:eastAsia="ko-KR"/>
        </w:rPr>
        <w:t>g</w:t>
      </w:r>
      <w:r w:rsidRPr="00632183">
        <w:rPr>
          <w:lang w:eastAsia="ko-KR"/>
        </w:rPr>
        <w:t xml:space="preserve">NB with information about </w:t>
      </w:r>
      <w:r>
        <w:rPr>
          <w:rFonts w:hint="eastAsia"/>
          <w:lang w:eastAsia="ko-KR"/>
        </w:rPr>
        <w:t>UL data volume</w:t>
      </w:r>
      <w:r w:rsidRPr="00632183">
        <w:rPr>
          <w:lang w:eastAsia="ko-KR"/>
        </w:rPr>
        <w:t xml:space="preserve"> in the MAC entity.</w:t>
      </w:r>
    </w:p>
    <w:p w14:paraId="0B466635" w14:textId="77777777" w:rsidR="00BA4205" w:rsidRDefault="00BA4205" w:rsidP="00BA4205">
      <w:pPr>
        <w:rPr>
          <w:lang w:eastAsia="ko-KR"/>
        </w:rPr>
      </w:pPr>
      <w:r w:rsidRPr="00EA16FB">
        <w:rPr>
          <w:lang w:eastAsia="ko-KR"/>
        </w:rPr>
        <w:t xml:space="preserve">RRC </w:t>
      </w:r>
      <w:r w:rsidRPr="004F4FEE">
        <w:rPr>
          <w:lang w:eastAsia="ko-KR"/>
        </w:rPr>
        <w:t xml:space="preserve">configures the following parameters </w:t>
      </w:r>
      <w:r>
        <w:rPr>
          <w:rFonts w:hint="eastAsia"/>
          <w:lang w:eastAsia="ko-KR"/>
        </w:rPr>
        <w:t xml:space="preserve">to </w:t>
      </w:r>
      <w:r w:rsidRPr="00EA16FB">
        <w:rPr>
          <w:lang w:eastAsia="ko-KR"/>
        </w:rPr>
        <w:t xml:space="preserve">control </w:t>
      </w:r>
      <w:r>
        <w:rPr>
          <w:rFonts w:hint="eastAsia"/>
          <w:lang w:eastAsia="ko-KR"/>
        </w:rPr>
        <w:t xml:space="preserve">the </w:t>
      </w:r>
      <w:r w:rsidRPr="00EA16FB">
        <w:rPr>
          <w:lang w:eastAsia="ko-KR"/>
        </w:rPr>
        <w:t>BSR reporting</w:t>
      </w:r>
      <w:r>
        <w:rPr>
          <w:rFonts w:hint="eastAsia"/>
          <w:lang w:eastAsia="ko-KR"/>
        </w:rPr>
        <w:t>:</w:t>
      </w:r>
    </w:p>
    <w:p w14:paraId="26CBC17E" w14:textId="77777777" w:rsidR="00BA4205" w:rsidRPr="00E37FDD" w:rsidRDefault="00BA4205" w:rsidP="00BA4205">
      <w:pPr>
        <w:pStyle w:val="B1"/>
        <w:rPr>
          <w:lang w:eastAsia="ko-KR"/>
        </w:rPr>
      </w:pPr>
      <w:r w:rsidRPr="00CF032B">
        <w:rPr>
          <w:rFonts w:hint="eastAsia"/>
          <w:lang w:eastAsia="ko-KR"/>
        </w:rPr>
        <w:t>-</w:t>
      </w:r>
      <w:r w:rsidRPr="00CF032B">
        <w:rPr>
          <w:rFonts w:hint="eastAsia"/>
          <w:lang w:eastAsia="ko-KR"/>
        </w:rPr>
        <w:tab/>
      </w:r>
      <w:r w:rsidRPr="00985108">
        <w:rPr>
          <w:i/>
          <w:lang w:eastAsia="ko-KR"/>
        </w:rPr>
        <w:t>periodicBSR-Timer</w:t>
      </w:r>
      <w:r w:rsidRPr="00E37FDD">
        <w:rPr>
          <w:rFonts w:hint="eastAsia"/>
          <w:lang w:eastAsia="ko-KR"/>
        </w:rPr>
        <w:t>;</w:t>
      </w:r>
    </w:p>
    <w:p w14:paraId="71CAC820" w14:textId="77777777" w:rsidR="00BA4205" w:rsidRDefault="00BA4205" w:rsidP="00BA4205">
      <w:pPr>
        <w:pStyle w:val="B1"/>
        <w:rPr>
          <w:lang w:eastAsia="ko-KR"/>
        </w:rPr>
      </w:pPr>
      <w:r w:rsidRPr="00CF032B">
        <w:rPr>
          <w:rFonts w:hint="eastAsia"/>
          <w:lang w:eastAsia="ko-KR"/>
        </w:rPr>
        <w:t>-</w:t>
      </w:r>
      <w:r w:rsidRPr="00CF032B">
        <w:rPr>
          <w:rFonts w:hint="eastAsia"/>
          <w:lang w:eastAsia="ko-KR"/>
        </w:rPr>
        <w:tab/>
      </w:r>
      <w:r w:rsidRPr="00985108">
        <w:rPr>
          <w:i/>
          <w:lang w:eastAsia="ko-KR"/>
        </w:rPr>
        <w:t>retxBSR-Timer</w:t>
      </w:r>
      <w:r>
        <w:rPr>
          <w:rFonts w:hint="eastAsia"/>
          <w:lang w:eastAsia="ko-KR"/>
        </w:rPr>
        <w:t>;</w:t>
      </w:r>
    </w:p>
    <w:p w14:paraId="0B6C6D2A" w14:textId="77777777" w:rsidR="00BA4205" w:rsidRDefault="00BA4205" w:rsidP="00BA4205">
      <w:pPr>
        <w:pStyle w:val="B1"/>
        <w:rPr>
          <w:lang w:eastAsia="ko-KR"/>
        </w:rPr>
      </w:pPr>
      <w:r>
        <w:rPr>
          <w:rFonts w:hint="eastAsia"/>
          <w:lang w:eastAsia="ko-KR"/>
        </w:rPr>
        <w:t>-</w:t>
      </w:r>
      <w:r>
        <w:rPr>
          <w:rFonts w:hint="eastAsia"/>
          <w:lang w:eastAsia="ko-KR"/>
        </w:rPr>
        <w:tab/>
      </w:r>
      <w:r w:rsidRPr="00985108">
        <w:rPr>
          <w:i/>
          <w:lang w:eastAsia="ko-KR"/>
        </w:rPr>
        <w:t>logicalChannelSR-ProhibitTimer</w:t>
      </w:r>
      <w:r>
        <w:rPr>
          <w:rFonts w:hint="eastAsia"/>
          <w:lang w:eastAsia="ko-KR"/>
        </w:rPr>
        <w:t>;</w:t>
      </w:r>
    </w:p>
    <w:p w14:paraId="59A48959" w14:textId="77777777" w:rsidR="00BA4205" w:rsidRDefault="00BA4205" w:rsidP="00BA4205">
      <w:pPr>
        <w:pStyle w:val="B1"/>
        <w:rPr>
          <w:lang w:eastAsia="ko-KR"/>
        </w:rPr>
      </w:pPr>
      <w:r>
        <w:rPr>
          <w:rFonts w:hint="eastAsia"/>
          <w:lang w:eastAsia="ko-KR"/>
        </w:rPr>
        <w:t>-</w:t>
      </w:r>
      <w:r>
        <w:rPr>
          <w:rFonts w:hint="eastAsia"/>
          <w:lang w:eastAsia="ko-KR"/>
        </w:rPr>
        <w:tab/>
      </w:r>
      <w:r w:rsidRPr="00985108">
        <w:rPr>
          <w:i/>
          <w:lang w:eastAsia="ko-KR"/>
        </w:rPr>
        <w:t>logicalChannelGroup</w:t>
      </w:r>
      <w:r w:rsidRPr="00E37FDD">
        <w:rPr>
          <w:rFonts w:hint="eastAsia"/>
          <w:lang w:eastAsia="ko-KR"/>
        </w:rPr>
        <w:t>.</w:t>
      </w:r>
    </w:p>
    <w:p w14:paraId="1835F1CD" w14:textId="77777777" w:rsidR="00BA4205" w:rsidRDefault="00BA4205" w:rsidP="00BA4205">
      <w:pPr>
        <w:rPr>
          <w:lang w:eastAsia="ko-KR"/>
        </w:rPr>
      </w:pPr>
      <w:r>
        <w:rPr>
          <w:rFonts w:hint="eastAsia"/>
          <w:lang w:eastAsia="ko-KR"/>
        </w:rPr>
        <w:t xml:space="preserve">Each logical channel </w:t>
      </w:r>
      <w:r w:rsidRPr="000040BE">
        <w:rPr>
          <w:rFonts w:hint="eastAsia"/>
          <w:lang w:eastAsia="ko-KR"/>
        </w:rPr>
        <w:t>may</w:t>
      </w:r>
      <w:r>
        <w:rPr>
          <w:rFonts w:hint="eastAsia"/>
          <w:lang w:eastAsia="ko-KR"/>
        </w:rPr>
        <w:t xml:space="preserve"> be allocated to an LCG using the </w:t>
      </w:r>
      <w:r w:rsidRPr="00012DFE">
        <w:rPr>
          <w:i/>
          <w:lang w:eastAsia="ko-KR"/>
        </w:rPr>
        <w:t>logicalChannelGroup</w:t>
      </w:r>
      <w:r>
        <w:rPr>
          <w:rFonts w:hint="eastAsia"/>
          <w:lang w:eastAsia="ko-KR"/>
        </w:rPr>
        <w:t>. The MAC entity is configured with up to eight LCGs.</w:t>
      </w:r>
    </w:p>
    <w:p w14:paraId="688A1079" w14:textId="316FA800" w:rsidR="00BA4205" w:rsidRDefault="00BA4205" w:rsidP="00BA4205">
      <w:pPr>
        <w:rPr>
          <w:ins w:id="1" w:author="Author"/>
          <w:noProof/>
        </w:rPr>
      </w:pPr>
      <w:ins w:id="2" w:author="Author">
        <w:r w:rsidRPr="006846AE">
          <w:rPr>
            <w:noProof/>
          </w:rPr>
          <w:t>For the Buffer Status reporting procedure, the MAC entity shall consider all radio bearers which are not suspended</w:t>
        </w:r>
        <w:r w:rsidR="00FF6CB1">
          <w:rPr>
            <w:noProof/>
          </w:rPr>
          <w:t>.</w:t>
        </w:r>
      </w:ins>
    </w:p>
    <w:p w14:paraId="238CE2AA" w14:textId="276AF529" w:rsidR="00FF6CB1" w:rsidRPr="006846AE" w:rsidRDefault="00FF6CB1" w:rsidP="00FF6CB1">
      <w:pPr>
        <w:pStyle w:val="Guidance"/>
        <w:rPr>
          <w:ins w:id="3" w:author="Author"/>
        </w:rPr>
      </w:pPr>
      <w:ins w:id="4" w:author="Author">
        <w:r>
          <w:rPr>
            <w:noProof/>
          </w:rPr>
          <w:t xml:space="preserve">Editor's note: Whether to consider radio bearers </w:t>
        </w:r>
        <w:r>
          <w:t>which</w:t>
        </w:r>
        <w:r>
          <w:rPr>
            <w:noProof/>
          </w:rPr>
          <w:t xml:space="preserve"> are suspended is FFS.</w:t>
        </w:r>
        <w:r w:rsidR="000157F7">
          <w:rPr>
            <w:noProof/>
          </w:rPr>
          <w:t xml:space="preserve"> In LTE the UE may include them.</w:t>
        </w:r>
      </w:ins>
    </w:p>
    <w:p w14:paraId="13A6EB58" w14:textId="77777777" w:rsidR="00BA4205" w:rsidRDefault="00BA4205" w:rsidP="00BA4205">
      <w:pPr>
        <w:rPr>
          <w:lang w:eastAsia="ko-KR"/>
        </w:rPr>
      </w:pPr>
      <w:r>
        <w:rPr>
          <w:rFonts w:hint="eastAsia"/>
          <w:lang w:eastAsia="ko-KR"/>
        </w:rPr>
        <w:t xml:space="preserve">The MAC entity determines </w:t>
      </w:r>
      <w:r w:rsidRPr="001A2363">
        <w:rPr>
          <w:lang w:eastAsia="ko-KR"/>
        </w:rPr>
        <w:t>the amount of data available in a logical channel</w:t>
      </w:r>
      <w:r>
        <w:rPr>
          <w:rFonts w:hint="eastAsia"/>
          <w:lang w:eastAsia="ko-KR"/>
        </w:rPr>
        <w:t xml:space="preserve"> according to the </w:t>
      </w:r>
      <w:r w:rsidRPr="00B964C9">
        <w:rPr>
          <w:lang w:eastAsia="ko-KR"/>
        </w:rPr>
        <w:t xml:space="preserve">data volume calculation procedure </w:t>
      </w:r>
      <w:r w:rsidRPr="00EB263B">
        <w:rPr>
          <w:lang w:eastAsia="ko-KR"/>
        </w:rPr>
        <w:t>in TS</w:t>
      </w:r>
      <w:r>
        <w:rPr>
          <w:rFonts w:hint="eastAsia"/>
          <w:lang w:eastAsia="ko-KR"/>
        </w:rPr>
        <w:t>s</w:t>
      </w:r>
      <w:r w:rsidRPr="00EB263B">
        <w:rPr>
          <w:lang w:eastAsia="ko-KR"/>
        </w:rPr>
        <w:t xml:space="preserve"> 38.</w:t>
      </w:r>
      <w:r>
        <w:rPr>
          <w:rFonts w:hint="eastAsia"/>
          <w:lang w:eastAsia="ko-KR"/>
        </w:rPr>
        <w:t xml:space="preserve">322 and 38.323 </w:t>
      </w:r>
      <w:r w:rsidRPr="00B964C9">
        <w:rPr>
          <w:lang w:eastAsia="ko-KR"/>
        </w:rPr>
        <w:t>[3] [4]</w:t>
      </w:r>
      <w:r>
        <w:rPr>
          <w:rFonts w:hint="eastAsia"/>
          <w:lang w:eastAsia="ko-KR"/>
        </w:rPr>
        <w:t>.</w:t>
      </w:r>
    </w:p>
    <w:p w14:paraId="059F4C57" w14:textId="77777777" w:rsidR="00BA4205" w:rsidRDefault="00BA4205" w:rsidP="00BA4205">
      <w:pPr>
        <w:rPr>
          <w:lang w:eastAsia="ko-KR"/>
        </w:rPr>
      </w:pPr>
      <w:r>
        <w:rPr>
          <w:lang w:eastAsia="ko-KR"/>
        </w:rPr>
        <w:t>A Buffer Status Report (BSR) shall be triggered if any of the following events occur:</w:t>
      </w:r>
    </w:p>
    <w:p w14:paraId="4B405004" w14:textId="77777777" w:rsidR="00BA4205" w:rsidRDefault="00BA4205" w:rsidP="00BA4205">
      <w:pPr>
        <w:pStyle w:val="B1"/>
        <w:rPr>
          <w:lang w:eastAsia="ko-KR"/>
        </w:rPr>
      </w:pPr>
      <w:r>
        <w:rPr>
          <w:lang w:eastAsia="ko-KR"/>
        </w:rPr>
        <w:t>-</w:t>
      </w:r>
      <w:r>
        <w:rPr>
          <w:lang w:eastAsia="ko-KR"/>
        </w:rPr>
        <w:tab/>
        <w:t xml:space="preserve">the MAC entity has new </w:t>
      </w:r>
      <w:r w:rsidRPr="0074278D">
        <w:rPr>
          <w:lang w:eastAsia="ko-KR"/>
        </w:rPr>
        <w:t>UL data</w:t>
      </w:r>
      <w:r>
        <w:rPr>
          <w:lang w:eastAsia="ko-KR"/>
        </w:rPr>
        <w:t xml:space="preserve"> </w:t>
      </w:r>
      <w:r w:rsidRPr="0074278D">
        <w:rPr>
          <w:lang w:eastAsia="ko-KR"/>
        </w:rPr>
        <w:t>for a logical channel which belongs to a</w:t>
      </w:r>
      <w:r>
        <w:rPr>
          <w:rFonts w:hint="eastAsia"/>
          <w:lang w:eastAsia="ko-KR"/>
        </w:rPr>
        <w:t>n</w:t>
      </w:r>
      <w:r w:rsidRPr="0074278D">
        <w:rPr>
          <w:lang w:eastAsia="ko-KR"/>
        </w:rPr>
        <w:t xml:space="preserve"> LCG</w:t>
      </w:r>
      <w:r>
        <w:rPr>
          <w:lang w:eastAsia="ko-KR"/>
        </w:rPr>
        <w:t>;</w:t>
      </w:r>
      <w:r w:rsidRPr="0074278D">
        <w:rPr>
          <w:lang w:eastAsia="ko-KR"/>
        </w:rPr>
        <w:t xml:space="preserve"> and</w:t>
      </w:r>
      <w:r>
        <w:rPr>
          <w:lang w:eastAsia="ko-KR"/>
        </w:rPr>
        <w:t xml:space="preserve"> either</w:t>
      </w:r>
    </w:p>
    <w:p w14:paraId="7D4A7BF2" w14:textId="77777777" w:rsidR="00BA4205" w:rsidRDefault="00BA4205" w:rsidP="00BA4205">
      <w:pPr>
        <w:pStyle w:val="B2"/>
        <w:rPr>
          <w:lang w:eastAsia="ko-KR"/>
        </w:rPr>
      </w:pPr>
      <w:r>
        <w:rPr>
          <w:lang w:eastAsia="ko-KR"/>
        </w:rPr>
        <w:t>-</w:t>
      </w:r>
      <w:r>
        <w:rPr>
          <w:lang w:eastAsia="ko-KR"/>
        </w:rPr>
        <w:tab/>
      </w:r>
      <w:r w:rsidRPr="0074278D">
        <w:rPr>
          <w:lang w:eastAsia="ko-KR"/>
        </w:rPr>
        <w:t xml:space="preserve">the </w:t>
      </w:r>
      <w:r>
        <w:rPr>
          <w:lang w:eastAsia="ko-KR"/>
        </w:rPr>
        <w:t xml:space="preserve">new </w:t>
      </w:r>
      <w:r>
        <w:rPr>
          <w:rFonts w:hint="eastAsia"/>
          <w:lang w:eastAsia="ko-KR"/>
        </w:rPr>
        <w:t xml:space="preserve">UL </w:t>
      </w:r>
      <w:r w:rsidRPr="0074278D">
        <w:rPr>
          <w:lang w:eastAsia="ko-KR"/>
        </w:rPr>
        <w:t xml:space="preserve">data belongs to a logical channel with higher priority than the </w:t>
      </w:r>
      <w:r w:rsidRPr="001A2363">
        <w:rPr>
          <w:lang w:eastAsia="ko-KR"/>
        </w:rPr>
        <w:t>priority of any logical channel containing UL data</w:t>
      </w:r>
      <w:r w:rsidRPr="0074278D">
        <w:rPr>
          <w:lang w:eastAsia="ko-KR"/>
        </w:rPr>
        <w:t xml:space="preserve"> which belong to any LCG</w:t>
      </w:r>
      <w:r>
        <w:rPr>
          <w:lang w:eastAsia="ko-KR"/>
        </w:rPr>
        <w:t>;</w:t>
      </w:r>
      <w:r w:rsidRPr="0074278D">
        <w:rPr>
          <w:lang w:eastAsia="ko-KR"/>
        </w:rPr>
        <w:t xml:space="preserve"> or</w:t>
      </w:r>
    </w:p>
    <w:p w14:paraId="2D81F298" w14:textId="77777777" w:rsidR="00BA4205" w:rsidRDefault="00BA4205" w:rsidP="00BA4205">
      <w:pPr>
        <w:pStyle w:val="B2"/>
        <w:rPr>
          <w:lang w:eastAsia="ko-KR"/>
        </w:rPr>
      </w:pPr>
      <w:r>
        <w:rPr>
          <w:lang w:eastAsia="ko-KR"/>
        </w:rPr>
        <w:lastRenderedPageBreak/>
        <w:t>-</w:t>
      </w:r>
      <w:r>
        <w:rPr>
          <w:lang w:eastAsia="ko-KR"/>
        </w:rPr>
        <w:tab/>
      </w:r>
      <w:r>
        <w:rPr>
          <w:rFonts w:hint="eastAsia"/>
          <w:lang w:eastAsia="ko-KR"/>
        </w:rPr>
        <w:t>none</w:t>
      </w:r>
      <w:r w:rsidRPr="0074278D">
        <w:rPr>
          <w:lang w:eastAsia="ko-KR"/>
        </w:rPr>
        <w:t xml:space="preserve"> of the logical channels which belong to a</w:t>
      </w:r>
      <w:r>
        <w:rPr>
          <w:rFonts w:hint="eastAsia"/>
          <w:lang w:eastAsia="ko-KR"/>
        </w:rPr>
        <w:t>n</w:t>
      </w:r>
      <w:r w:rsidRPr="0074278D">
        <w:rPr>
          <w:lang w:eastAsia="ko-KR"/>
        </w:rPr>
        <w:t xml:space="preserve"> LCG</w:t>
      </w:r>
      <w:r>
        <w:rPr>
          <w:rFonts w:hint="eastAsia"/>
          <w:lang w:eastAsia="ko-KR"/>
        </w:rPr>
        <w:t xml:space="preserve"> contains any UL data</w:t>
      </w:r>
      <w:r>
        <w:rPr>
          <w:lang w:eastAsia="ko-KR"/>
        </w:rPr>
        <w:t>;</w:t>
      </w:r>
    </w:p>
    <w:p w14:paraId="6D447879" w14:textId="77777777" w:rsidR="00BA4205" w:rsidRDefault="00BA4205" w:rsidP="00BA4205">
      <w:pPr>
        <w:pStyle w:val="B1"/>
        <w:rPr>
          <w:lang w:eastAsia="ko-KR"/>
        </w:rPr>
      </w:pPr>
      <w:r>
        <w:rPr>
          <w:lang w:eastAsia="ko-KR"/>
        </w:rPr>
        <w:tab/>
      </w:r>
      <w:r w:rsidRPr="0074278D">
        <w:rPr>
          <w:lang w:eastAsia="ko-KR"/>
        </w:rPr>
        <w:t xml:space="preserve">in which case the BSR is referred below to as </w:t>
      </w:r>
      <w:r>
        <w:rPr>
          <w:lang w:eastAsia="ko-KR"/>
        </w:rPr>
        <w:t>'</w:t>
      </w:r>
      <w:r w:rsidRPr="0074278D">
        <w:rPr>
          <w:lang w:eastAsia="ko-KR"/>
        </w:rPr>
        <w:t>Regular BSR</w:t>
      </w:r>
      <w:r>
        <w:rPr>
          <w:lang w:eastAsia="ko-KR"/>
        </w:rPr>
        <w:t>'</w:t>
      </w:r>
      <w:r w:rsidRPr="0074278D">
        <w:rPr>
          <w:lang w:eastAsia="ko-KR"/>
        </w:rPr>
        <w:t>;</w:t>
      </w:r>
    </w:p>
    <w:p w14:paraId="76CEB031" w14:textId="77777777" w:rsidR="00BA4205" w:rsidRDefault="00BA4205" w:rsidP="00BA4205">
      <w:pPr>
        <w:pStyle w:val="B1"/>
        <w:rPr>
          <w:lang w:eastAsia="ko-KR"/>
        </w:rPr>
      </w:pPr>
      <w:r>
        <w:rPr>
          <w:rFonts w:hint="eastAsia"/>
          <w:lang w:eastAsia="ko-KR"/>
        </w:rPr>
        <w:t>-</w:t>
      </w:r>
      <w:r>
        <w:rPr>
          <w:rFonts w:hint="eastAsia"/>
          <w:lang w:eastAsia="ko-KR"/>
        </w:rPr>
        <w:tab/>
      </w:r>
      <w:r w:rsidRPr="009B4A85">
        <w:rPr>
          <w:lang w:eastAsia="ko-KR"/>
        </w:rPr>
        <w:t xml:space="preserve">UL resources are allocated and number of padding bits is equal to or larger than the size of the Buffer Status Report MAC </w:t>
      </w:r>
      <w:r>
        <w:rPr>
          <w:rFonts w:hint="eastAsia"/>
          <w:lang w:eastAsia="ko-KR"/>
        </w:rPr>
        <w:t>CE</w:t>
      </w:r>
      <w:r w:rsidRPr="009B4A85">
        <w:rPr>
          <w:lang w:eastAsia="ko-KR"/>
        </w:rPr>
        <w:t xml:space="preserve"> plus its subheader, in which case the BSR is referred below to as </w:t>
      </w:r>
      <w:r>
        <w:rPr>
          <w:rFonts w:hint="eastAsia"/>
          <w:lang w:eastAsia="ko-KR"/>
        </w:rPr>
        <w:t>'</w:t>
      </w:r>
      <w:r w:rsidRPr="009B4A85">
        <w:rPr>
          <w:lang w:eastAsia="ko-KR"/>
        </w:rPr>
        <w:t>Padding BSR</w:t>
      </w:r>
      <w:r>
        <w:rPr>
          <w:rFonts w:hint="eastAsia"/>
          <w:lang w:eastAsia="ko-KR"/>
        </w:rPr>
        <w:t>'</w:t>
      </w:r>
      <w:r w:rsidRPr="009B4A85">
        <w:rPr>
          <w:lang w:eastAsia="ko-KR"/>
        </w:rPr>
        <w:t>;</w:t>
      </w:r>
    </w:p>
    <w:p w14:paraId="724A39EA" w14:textId="77777777" w:rsidR="00BA4205" w:rsidRDefault="00BA4205" w:rsidP="00BA4205">
      <w:pPr>
        <w:pStyle w:val="B1"/>
        <w:rPr>
          <w:lang w:eastAsia="ko-KR"/>
        </w:rPr>
      </w:pPr>
      <w:r>
        <w:rPr>
          <w:lang w:eastAsia="ko-KR"/>
        </w:rPr>
        <w:t>-</w:t>
      </w:r>
      <w:r>
        <w:rPr>
          <w:lang w:eastAsia="ko-KR"/>
        </w:rPr>
        <w:tab/>
      </w:r>
      <w:r w:rsidRPr="00E66191">
        <w:rPr>
          <w:i/>
          <w:lang w:eastAsia="ko-KR"/>
        </w:rPr>
        <w:t>retxBSR-Timer</w:t>
      </w:r>
      <w:r>
        <w:rPr>
          <w:lang w:eastAsia="ko-KR"/>
        </w:rPr>
        <w:t xml:space="preserve"> expires</w:t>
      </w:r>
      <w:r>
        <w:rPr>
          <w:rFonts w:hint="eastAsia"/>
          <w:lang w:eastAsia="ko-KR"/>
        </w:rPr>
        <w:t>,</w:t>
      </w:r>
      <w:r>
        <w:rPr>
          <w:lang w:eastAsia="ko-KR"/>
        </w:rPr>
        <w:t xml:space="preserve"> and </w:t>
      </w:r>
      <w:r>
        <w:rPr>
          <w:rFonts w:hint="eastAsia"/>
          <w:lang w:eastAsia="ko-KR"/>
        </w:rPr>
        <w:t xml:space="preserve">at least one </w:t>
      </w:r>
      <w:r>
        <w:rPr>
          <w:lang w:eastAsia="ko-KR"/>
        </w:rPr>
        <w:t xml:space="preserve">of the logical channels </w:t>
      </w:r>
      <w:r w:rsidRPr="00CF032B">
        <w:rPr>
          <w:lang w:eastAsia="ko-KR"/>
        </w:rPr>
        <w:t>which belong to a</w:t>
      </w:r>
      <w:r>
        <w:rPr>
          <w:rFonts w:hint="eastAsia"/>
          <w:lang w:eastAsia="ko-KR"/>
        </w:rPr>
        <w:t>n</w:t>
      </w:r>
      <w:r w:rsidRPr="00CF032B">
        <w:rPr>
          <w:lang w:eastAsia="ko-KR"/>
        </w:rPr>
        <w:t xml:space="preserve"> LCG</w:t>
      </w:r>
      <w:r>
        <w:rPr>
          <w:rFonts w:hint="eastAsia"/>
          <w:lang w:eastAsia="ko-KR"/>
        </w:rPr>
        <w:t xml:space="preserve"> contains UL data</w:t>
      </w:r>
      <w:r>
        <w:rPr>
          <w:lang w:eastAsia="ko-KR"/>
        </w:rPr>
        <w:t xml:space="preserve">, in which case the BSR is referred below to as </w:t>
      </w:r>
      <w:r>
        <w:rPr>
          <w:rFonts w:hint="eastAsia"/>
          <w:lang w:eastAsia="ko-KR"/>
        </w:rPr>
        <w:t>'</w:t>
      </w:r>
      <w:r>
        <w:rPr>
          <w:lang w:eastAsia="ko-KR"/>
        </w:rPr>
        <w:t>Regular BSR</w:t>
      </w:r>
      <w:r>
        <w:rPr>
          <w:rFonts w:hint="eastAsia"/>
          <w:lang w:eastAsia="ko-KR"/>
        </w:rPr>
        <w:t>'</w:t>
      </w:r>
      <w:r>
        <w:rPr>
          <w:lang w:eastAsia="ko-KR"/>
        </w:rPr>
        <w:t>;</w:t>
      </w:r>
    </w:p>
    <w:p w14:paraId="249CB86D" w14:textId="77777777" w:rsidR="00BA4205" w:rsidRPr="00D00F7E" w:rsidRDefault="00BA4205" w:rsidP="00BA4205">
      <w:pPr>
        <w:pStyle w:val="B1"/>
        <w:rPr>
          <w:lang w:eastAsia="ko-KR"/>
        </w:rPr>
      </w:pPr>
      <w:r>
        <w:rPr>
          <w:lang w:eastAsia="ko-KR"/>
        </w:rPr>
        <w:t>-</w:t>
      </w:r>
      <w:r>
        <w:rPr>
          <w:lang w:eastAsia="ko-KR"/>
        </w:rPr>
        <w:tab/>
      </w:r>
      <w:r w:rsidRPr="00E66191">
        <w:rPr>
          <w:i/>
          <w:lang w:eastAsia="ko-KR"/>
        </w:rPr>
        <w:t>periodicBSR-Timer</w:t>
      </w:r>
      <w:r>
        <w:rPr>
          <w:lang w:eastAsia="ko-KR"/>
        </w:rPr>
        <w:t xml:space="preserve"> expires, in which case the BSR is referred below to as </w:t>
      </w:r>
      <w:r>
        <w:rPr>
          <w:rFonts w:hint="eastAsia"/>
          <w:lang w:eastAsia="ko-KR"/>
        </w:rPr>
        <w:t>'</w:t>
      </w:r>
      <w:r>
        <w:rPr>
          <w:lang w:eastAsia="ko-KR"/>
        </w:rPr>
        <w:t>Periodic BSR</w:t>
      </w:r>
      <w:r>
        <w:rPr>
          <w:rFonts w:hint="eastAsia"/>
          <w:lang w:eastAsia="ko-KR"/>
        </w:rPr>
        <w:t>'</w:t>
      </w:r>
      <w:r>
        <w:rPr>
          <w:lang w:eastAsia="ko-KR"/>
        </w:rPr>
        <w:t>.</w:t>
      </w:r>
    </w:p>
    <w:p w14:paraId="2B5BEF29" w14:textId="77777777" w:rsidR="00BA4205" w:rsidRDefault="00BA4205" w:rsidP="00BA4205">
      <w:pPr>
        <w:pStyle w:val="Guidance"/>
        <w:rPr>
          <w:lang w:eastAsia="ko-KR"/>
        </w:rPr>
      </w:pPr>
      <w:r>
        <w:rPr>
          <w:rFonts w:hint="eastAsia"/>
        </w:rPr>
        <w:t xml:space="preserve">Editor's note: </w:t>
      </w:r>
      <w:r>
        <w:rPr>
          <w:rFonts w:hint="eastAsia"/>
          <w:lang w:eastAsia="ko-KR"/>
        </w:rPr>
        <w:t>the text above can be improved considering data volume defined in RLC and PDCP.</w:t>
      </w:r>
    </w:p>
    <w:p w14:paraId="00F2CF44" w14:textId="77777777" w:rsidR="00BA4205" w:rsidRPr="008109AD" w:rsidRDefault="00BA4205" w:rsidP="00BA4205">
      <w:pPr>
        <w:rPr>
          <w:noProof/>
        </w:rPr>
      </w:pPr>
      <w:r w:rsidRPr="008109AD">
        <w:rPr>
          <w:noProof/>
        </w:rPr>
        <w:t>For Regular BSR</w:t>
      </w:r>
      <w:r>
        <w:rPr>
          <w:rFonts w:hint="eastAsia"/>
          <w:noProof/>
          <w:lang w:eastAsia="ko-KR"/>
        </w:rPr>
        <w:t>, the MAC entity shall</w:t>
      </w:r>
      <w:r w:rsidRPr="008109AD">
        <w:rPr>
          <w:noProof/>
        </w:rPr>
        <w:t>:</w:t>
      </w:r>
    </w:p>
    <w:p w14:paraId="7E060F3C" w14:textId="77777777" w:rsidR="00BA4205" w:rsidRPr="008109AD" w:rsidRDefault="00BA4205" w:rsidP="00BA4205">
      <w:pPr>
        <w:pStyle w:val="B1"/>
        <w:rPr>
          <w:noProof/>
        </w:rPr>
      </w:pPr>
      <w:r>
        <w:rPr>
          <w:rFonts w:hint="eastAsia"/>
          <w:noProof/>
          <w:lang w:eastAsia="ko-KR"/>
        </w:rPr>
        <w:t>1&gt;</w:t>
      </w:r>
      <w:r w:rsidRPr="008109AD">
        <w:rPr>
          <w:noProof/>
        </w:rPr>
        <w:tab/>
        <w:t xml:space="preserve">if the BSR is triggered for a logical channel for which </w:t>
      </w:r>
      <w:r w:rsidRPr="008109AD">
        <w:rPr>
          <w:i/>
          <w:noProof/>
        </w:rPr>
        <w:t>logicalChannelSR</w:t>
      </w:r>
      <w:r>
        <w:rPr>
          <w:i/>
          <w:noProof/>
        </w:rPr>
        <w:t>-</w:t>
      </w:r>
      <w:r w:rsidRPr="008109AD">
        <w:rPr>
          <w:i/>
          <w:noProof/>
        </w:rPr>
        <w:t>ProhibitTimer</w:t>
      </w:r>
      <w:r w:rsidRPr="008109AD">
        <w:rPr>
          <w:noProof/>
        </w:rPr>
        <w:t xml:space="preserve"> is </w:t>
      </w:r>
      <w:r>
        <w:rPr>
          <w:noProof/>
        </w:rPr>
        <w:t>configured</w:t>
      </w:r>
      <w:r w:rsidRPr="008109AD">
        <w:rPr>
          <w:noProof/>
        </w:rPr>
        <w:t xml:space="preserve"> by upper layers:</w:t>
      </w:r>
    </w:p>
    <w:p w14:paraId="49835F18" w14:textId="77777777" w:rsidR="00BA4205" w:rsidRPr="008109AD" w:rsidRDefault="00BA4205" w:rsidP="00BA4205">
      <w:pPr>
        <w:pStyle w:val="B2"/>
        <w:rPr>
          <w:noProof/>
        </w:rPr>
      </w:pPr>
      <w:r>
        <w:rPr>
          <w:rFonts w:hint="eastAsia"/>
          <w:noProof/>
          <w:lang w:eastAsia="ko-KR"/>
        </w:rPr>
        <w:t>2&gt;</w:t>
      </w:r>
      <w:r w:rsidRPr="008109AD">
        <w:rPr>
          <w:noProof/>
        </w:rPr>
        <w:tab/>
        <w:t xml:space="preserve">start </w:t>
      </w:r>
      <w:r>
        <w:rPr>
          <w:noProof/>
        </w:rPr>
        <w:t xml:space="preserve">or restart </w:t>
      </w:r>
      <w:r w:rsidRPr="008109AD">
        <w:rPr>
          <w:noProof/>
        </w:rPr>
        <w:t xml:space="preserve">the </w:t>
      </w:r>
      <w:r w:rsidRPr="00424F9E">
        <w:rPr>
          <w:i/>
          <w:noProof/>
        </w:rPr>
        <w:t>logicalChannelSR-ProhibitTimer</w:t>
      </w:r>
      <w:r w:rsidRPr="008109AD">
        <w:rPr>
          <w:noProof/>
        </w:rPr>
        <w:t>;</w:t>
      </w:r>
    </w:p>
    <w:p w14:paraId="4FE3E91E" w14:textId="77777777" w:rsidR="00BA4205" w:rsidRPr="008109AD" w:rsidRDefault="00BA4205" w:rsidP="00BA4205">
      <w:pPr>
        <w:pStyle w:val="B1"/>
        <w:rPr>
          <w:noProof/>
        </w:rPr>
      </w:pPr>
      <w:r>
        <w:rPr>
          <w:rFonts w:hint="eastAsia"/>
          <w:noProof/>
          <w:lang w:eastAsia="ko-KR"/>
        </w:rPr>
        <w:t>1&gt;</w:t>
      </w:r>
      <w:r w:rsidRPr="008109AD">
        <w:rPr>
          <w:noProof/>
        </w:rPr>
        <w:tab/>
        <w:t>else:</w:t>
      </w:r>
    </w:p>
    <w:p w14:paraId="75731616" w14:textId="77777777" w:rsidR="00BA4205" w:rsidRPr="008109AD" w:rsidRDefault="00BA4205" w:rsidP="00BA4205">
      <w:pPr>
        <w:pStyle w:val="B2"/>
        <w:rPr>
          <w:noProof/>
        </w:rPr>
      </w:pPr>
      <w:r>
        <w:rPr>
          <w:rFonts w:hint="eastAsia"/>
          <w:noProof/>
          <w:lang w:eastAsia="ko-KR"/>
        </w:rPr>
        <w:t>2&gt;</w:t>
      </w:r>
      <w:r w:rsidRPr="008109AD">
        <w:rPr>
          <w:noProof/>
        </w:rPr>
        <w:tab/>
        <w:t xml:space="preserve">if running, stop the </w:t>
      </w:r>
      <w:r w:rsidRPr="00424F9E">
        <w:rPr>
          <w:i/>
          <w:noProof/>
        </w:rPr>
        <w:t>logicalChannelSR-ProhibitTimer</w:t>
      </w:r>
      <w:r w:rsidRPr="008109AD">
        <w:rPr>
          <w:noProof/>
        </w:rPr>
        <w:t>.</w:t>
      </w:r>
    </w:p>
    <w:p w14:paraId="5B23434D" w14:textId="77777777" w:rsidR="00BA4205" w:rsidRPr="002F4F3B" w:rsidRDefault="00BA4205" w:rsidP="00BA4205">
      <w:pPr>
        <w:rPr>
          <w:noProof/>
          <w:lang w:eastAsia="ko-KR"/>
        </w:rPr>
      </w:pPr>
      <w:r w:rsidRPr="002F4F3B">
        <w:rPr>
          <w:noProof/>
        </w:rPr>
        <w:t>For Regular and Periodic BSR</w:t>
      </w:r>
      <w:r w:rsidRPr="00E9568B">
        <w:rPr>
          <w:noProof/>
        </w:rPr>
        <w:t>, the MAC entity shall</w:t>
      </w:r>
      <w:r>
        <w:rPr>
          <w:rFonts w:hint="eastAsia"/>
          <w:noProof/>
          <w:lang w:eastAsia="ko-KR"/>
        </w:rPr>
        <w:t>:</w:t>
      </w:r>
    </w:p>
    <w:p w14:paraId="72D9BDCE" w14:textId="77777777" w:rsidR="00BA4205" w:rsidDel="00DF04A3" w:rsidRDefault="00BA4205" w:rsidP="00BA4205">
      <w:pPr>
        <w:pStyle w:val="Guidance"/>
        <w:rPr>
          <w:del w:id="5" w:author="Author"/>
          <w:lang w:eastAsia="ko-KR"/>
        </w:rPr>
      </w:pPr>
      <w:del w:id="6" w:author="Author">
        <w:r w:rsidDel="00DF04A3">
          <w:rPr>
            <w:rFonts w:hint="eastAsia"/>
          </w:rPr>
          <w:delText xml:space="preserve">Editor's note: </w:delText>
        </w:r>
        <w:r w:rsidDel="00DF04A3">
          <w:rPr>
            <w:rFonts w:hint="eastAsia"/>
            <w:lang w:eastAsia="ko-KR"/>
          </w:rPr>
          <w:delText>Depending on the detailed format for BSR (e.g. long, short, truncated) the text would be added above.</w:delText>
        </w:r>
      </w:del>
    </w:p>
    <w:p w14:paraId="3737EFD3" w14:textId="77777777" w:rsidR="00BA4205" w:rsidRDefault="00BA4205" w:rsidP="00BA4205">
      <w:pPr>
        <w:pStyle w:val="B1"/>
        <w:rPr>
          <w:ins w:id="7" w:author="Author"/>
          <w:noProof/>
        </w:rPr>
      </w:pPr>
      <w:ins w:id="8" w:author="Author">
        <w:r>
          <w:rPr>
            <w:noProof/>
          </w:rPr>
          <w:t>1&gt;</w:t>
        </w:r>
        <w:r w:rsidRPr="006846AE">
          <w:rPr>
            <w:noProof/>
          </w:rPr>
          <w:tab/>
          <w:t>if more than one LCG has data available for transmission in the TTI where the BSR is transmitted:</w:t>
        </w:r>
      </w:ins>
    </w:p>
    <w:p w14:paraId="26538A10" w14:textId="060132CE" w:rsidR="00BA4205" w:rsidRPr="006846AE" w:rsidRDefault="00BA4205" w:rsidP="00950876">
      <w:pPr>
        <w:pStyle w:val="B2"/>
        <w:rPr>
          <w:ins w:id="9" w:author="Author"/>
          <w:noProof/>
        </w:rPr>
      </w:pPr>
      <w:ins w:id="10" w:author="Author">
        <w:r>
          <w:rPr>
            <w:noProof/>
          </w:rPr>
          <w:t>2&gt;</w:t>
        </w:r>
        <w:r>
          <w:rPr>
            <w:noProof/>
          </w:rPr>
          <w:tab/>
        </w:r>
        <w:r w:rsidRPr="006846AE">
          <w:rPr>
            <w:noProof/>
          </w:rPr>
          <w:t>report Long BSR;</w:t>
        </w:r>
      </w:ins>
    </w:p>
    <w:p w14:paraId="121EE15A" w14:textId="77777777" w:rsidR="00BA4205" w:rsidRDefault="00BA4205" w:rsidP="00BA4205">
      <w:pPr>
        <w:pStyle w:val="B1"/>
        <w:rPr>
          <w:ins w:id="11" w:author="Author"/>
          <w:noProof/>
        </w:rPr>
      </w:pPr>
      <w:ins w:id="12" w:author="Author">
        <w:r>
          <w:rPr>
            <w:noProof/>
          </w:rPr>
          <w:t>1&gt;</w:t>
        </w:r>
        <w:r w:rsidRPr="006846AE">
          <w:rPr>
            <w:noProof/>
          </w:rPr>
          <w:tab/>
          <w:t>else</w:t>
        </w:r>
        <w:r>
          <w:rPr>
            <w:noProof/>
          </w:rPr>
          <w:t>:</w:t>
        </w:r>
      </w:ins>
    </w:p>
    <w:p w14:paraId="6DE455F6" w14:textId="43C93555" w:rsidR="00BA4205" w:rsidRPr="006846AE" w:rsidRDefault="00BA4205" w:rsidP="00950876">
      <w:pPr>
        <w:pStyle w:val="B2"/>
        <w:rPr>
          <w:ins w:id="13" w:author="Author"/>
          <w:noProof/>
        </w:rPr>
      </w:pPr>
      <w:ins w:id="14" w:author="Author">
        <w:r>
          <w:rPr>
            <w:noProof/>
          </w:rPr>
          <w:t>2&gt;</w:t>
        </w:r>
        <w:r>
          <w:rPr>
            <w:noProof/>
          </w:rPr>
          <w:tab/>
        </w:r>
        <w:r w:rsidRPr="006846AE">
          <w:rPr>
            <w:noProof/>
          </w:rPr>
          <w:t>report Short BSR.</w:t>
        </w:r>
      </w:ins>
    </w:p>
    <w:p w14:paraId="6BC2A983" w14:textId="77777777" w:rsidR="00BA4205" w:rsidRDefault="00BA4205" w:rsidP="00BA4205">
      <w:pPr>
        <w:rPr>
          <w:noProof/>
          <w:lang w:eastAsia="ko-KR"/>
        </w:rPr>
      </w:pPr>
    </w:p>
    <w:p w14:paraId="25EDFD34" w14:textId="77777777" w:rsidR="00BA4205" w:rsidRPr="002F4F3B" w:rsidRDefault="00BA4205" w:rsidP="00BA4205">
      <w:pPr>
        <w:rPr>
          <w:noProof/>
        </w:rPr>
      </w:pPr>
      <w:r w:rsidRPr="002F4F3B">
        <w:rPr>
          <w:noProof/>
        </w:rPr>
        <w:t>For Padding BSR:</w:t>
      </w:r>
    </w:p>
    <w:p w14:paraId="36177C0C" w14:textId="77777777" w:rsidR="00BA4205" w:rsidDel="00DF04A3" w:rsidRDefault="00BA4205" w:rsidP="00BA4205">
      <w:pPr>
        <w:pStyle w:val="Guidance"/>
        <w:rPr>
          <w:del w:id="15" w:author="Author"/>
          <w:lang w:eastAsia="ko-KR"/>
        </w:rPr>
      </w:pPr>
      <w:del w:id="16" w:author="Author">
        <w:r w:rsidDel="00DF04A3">
          <w:rPr>
            <w:rFonts w:hint="eastAsia"/>
          </w:rPr>
          <w:delText xml:space="preserve">Editor's note: </w:delText>
        </w:r>
        <w:r w:rsidDel="00DF04A3">
          <w:rPr>
            <w:rFonts w:hint="eastAsia"/>
            <w:lang w:eastAsia="ko-KR"/>
          </w:rPr>
          <w:delText>Depending on the detailed format for BSR (e.g. long, short, truncated) the text would be added above.</w:delText>
        </w:r>
      </w:del>
    </w:p>
    <w:p w14:paraId="3DFEAF20" w14:textId="5BF2BDBB" w:rsidR="00BA4205" w:rsidRPr="006846AE" w:rsidRDefault="00BA4205" w:rsidP="00BA4205">
      <w:pPr>
        <w:pStyle w:val="B1"/>
        <w:rPr>
          <w:ins w:id="17" w:author="Author"/>
          <w:noProof/>
        </w:rPr>
      </w:pPr>
      <w:ins w:id="18" w:author="Author">
        <w:r>
          <w:rPr>
            <w:noProof/>
          </w:rPr>
          <w:t>1&gt;</w:t>
        </w:r>
        <w:r w:rsidRPr="006846AE">
          <w:rPr>
            <w:noProof/>
          </w:rPr>
          <w:tab/>
          <w:t>if the number of padding bits is equal to or larger than the size of the Short BSR plus its subheader but smaller than the size of the Long BSR plus its subheader:</w:t>
        </w:r>
      </w:ins>
    </w:p>
    <w:p w14:paraId="6822DC45" w14:textId="77777777" w:rsidR="00BA4205" w:rsidRDefault="00BA4205" w:rsidP="00BA4205">
      <w:pPr>
        <w:pStyle w:val="B2"/>
        <w:rPr>
          <w:ins w:id="19" w:author="Author"/>
          <w:noProof/>
        </w:rPr>
      </w:pPr>
      <w:ins w:id="20" w:author="Author">
        <w:r>
          <w:rPr>
            <w:noProof/>
          </w:rPr>
          <w:t>2&gt;</w:t>
        </w:r>
        <w:r w:rsidRPr="006846AE">
          <w:rPr>
            <w:noProof/>
          </w:rPr>
          <w:tab/>
          <w:t xml:space="preserve">if more than one LCG has data </w:t>
        </w:r>
        <w:r w:rsidRPr="006846AE">
          <w:rPr>
            <w:noProof/>
            <w:lang w:eastAsia="zh-TW"/>
          </w:rPr>
          <w:t xml:space="preserve">available for transmission </w:t>
        </w:r>
        <w:r w:rsidRPr="006846AE">
          <w:rPr>
            <w:noProof/>
          </w:rPr>
          <w:t>in the TTI where the BSR is transmitted:</w:t>
        </w:r>
      </w:ins>
    </w:p>
    <w:p w14:paraId="6E914580" w14:textId="6BE3527C" w:rsidR="00BA4205" w:rsidRPr="006846AE" w:rsidRDefault="00BA4205" w:rsidP="00950876">
      <w:pPr>
        <w:pStyle w:val="B3"/>
        <w:rPr>
          <w:ins w:id="21" w:author="Author"/>
          <w:noProof/>
        </w:rPr>
      </w:pPr>
      <w:ins w:id="22" w:author="Author">
        <w:r>
          <w:rPr>
            <w:noProof/>
          </w:rPr>
          <w:t>3&gt;</w:t>
        </w:r>
        <w:r>
          <w:rPr>
            <w:noProof/>
          </w:rPr>
          <w:tab/>
        </w:r>
        <w:r w:rsidRPr="006846AE">
          <w:rPr>
            <w:noProof/>
          </w:rPr>
          <w:t>report Truncated BSR of the LCG with the highest priority logical channel with data available for transmission;</w:t>
        </w:r>
      </w:ins>
    </w:p>
    <w:p w14:paraId="3106AFA2" w14:textId="77777777" w:rsidR="00BA4205" w:rsidRDefault="00BA4205" w:rsidP="00BA4205">
      <w:pPr>
        <w:pStyle w:val="B2"/>
        <w:rPr>
          <w:ins w:id="23" w:author="Author"/>
          <w:noProof/>
        </w:rPr>
      </w:pPr>
      <w:ins w:id="24" w:author="Author">
        <w:r>
          <w:rPr>
            <w:noProof/>
          </w:rPr>
          <w:t>2&gt;</w:t>
        </w:r>
        <w:r w:rsidRPr="006846AE">
          <w:rPr>
            <w:noProof/>
          </w:rPr>
          <w:tab/>
          <w:t>else</w:t>
        </w:r>
        <w:r>
          <w:rPr>
            <w:noProof/>
          </w:rPr>
          <w:t>:</w:t>
        </w:r>
      </w:ins>
    </w:p>
    <w:p w14:paraId="56242866" w14:textId="4B15E51E" w:rsidR="00BA4205" w:rsidRPr="006846AE" w:rsidRDefault="00BA4205" w:rsidP="00950876">
      <w:pPr>
        <w:pStyle w:val="B3"/>
        <w:rPr>
          <w:ins w:id="25" w:author="Author"/>
          <w:noProof/>
        </w:rPr>
      </w:pPr>
      <w:ins w:id="26" w:author="Author">
        <w:r>
          <w:rPr>
            <w:noProof/>
          </w:rPr>
          <w:t>3&gt;</w:t>
        </w:r>
        <w:r>
          <w:rPr>
            <w:noProof/>
          </w:rPr>
          <w:tab/>
          <w:t>report Short BSR;</w:t>
        </w:r>
      </w:ins>
    </w:p>
    <w:p w14:paraId="4B7EF800" w14:textId="77777777" w:rsidR="00950876" w:rsidRDefault="00BA4205" w:rsidP="00BA4205">
      <w:pPr>
        <w:pStyle w:val="B1"/>
        <w:rPr>
          <w:ins w:id="27" w:author="Author"/>
          <w:noProof/>
        </w:rPr>
      </w:pPr>
      <w:ins w:id="28" w:author="Author">
        <w:r>
          <w:rPr>
            <w:noProof/>
          </w:rPr>
          <w:t>1&gt;</w:t>
        </w:r>
        <w:r w:rsidRPr="006846AE">
          <w:rPr>
            <w:noProof/>
          </w:rPr>
          <w:tab/>
          <w:t>else if the number of padding bits is equal to or larger than the size of the Long BSR plus its subheader</w:t>
        </w:r>
        <w:r w:rsidR="00950876">
          <w:rPr>
            <w:noProof/>
          </w:rPr>
          <w:t>:</w:t>
        </w:r>
      </w:ins>
    </w:p>
    <w:p w14:paraId="442EB648" w14:textId="255B1532" w:rsidR="00BA4205" w:rsidRPr="006846AE" w:rsidRDefault="00950876" w:rsidP="00950876">
      <w:pPr>
        <w:pStyle w:val="B2"/>
        <w:rPr>
          <w:ins w:id="29" w:author="Author"/>
          <w:noProof/>
        </w:rPr>
      </w:pPr>
      <w:ins w:id="30" w:author="Author">
        <w:r>
          <w:rPr>
            <w:noProof/>
          </w:rPr>
          <w:t>2&gt;</w:t>
        </w:r>
        <w:r>
          <w:rPr>
            <w:noProof/>
          </w:rPr>
          <w:tab/>
        </w:r>
        <w:r w:rsidR="00BA4205" w:rsidRPr="006846AE">
          <w:rPr>
            <w:noProof/>
          </w:rPr>
          <w:t>report Long BSR.</w:t>
        </w:r>
      </w:ins>
    </w:p>
    <w:p w14:paraId="4F13D135" w14:textId="77777777" w:rsidR="00BA4205" w:rsidRDefault="00BA4205" w:rsidP="00BA4205">
      <w:pPr>
        <w:rPr>
          <w:noProof/>
          <w:lang w:eastAsia="ko-KR"/>
        </w:rPr>
      </w:pPr>
    </w:p>
    <w:p w14:paraId="464DAB0E" w14:textId="77777777" w:rsidR="00BA4205" w:rsidRDefault="00BA4205" w:rsidP="00BA4205">
      <w:pPr>
        <w:rPr>
          <w:noProof/>
          <w:lang w:eastAsia="ko-KR"/>
        </w:rPr>
      </w:pPr>
      <w:r>
        <w:rPr>
          <w:rFonts w:hint="eastAsia"/>
          <w:noProof/>
          <w:lang w:eastAsia="ko-KR"/>
        </w:rPr>
        <w:t>The MAC entity shall:</w:t>
      </w:r>
    </w:p>
    <w:p w14:paraId="2CA818E5" w14:textId="77777777" w:rsidR="00BA4205" w:rsidRPr="002F4F3B" w:rsidRDefault="00BA4205" w:rsidP="00BA4205">
      <w:pPr>
        <w:pStyle w:val="B1"/>
        <w:rPr>
          <w:noProof/>
        </w:rPr>
      </w:pPr>
      <w:r>
        <w:rPr>
          <w:rFonts w:hint="eastAsia"/>
          <w:noProof/>
          <w:lang w:eastAsia="ko-KR"/>
        </w:rPr>
        <w:lastRenderedPageBreak/>
        <w:t>1&gt;</w:t>
      </w:r>
      <w:r>
        <w:rPr>
          <w:rFonts w:hint="eastAsia"/>
          <w:noProof/>
          <w:lang w:eastAsia="ko-KR"/>
        </w:rPr>
        <w:tab/>
        <w:t>i</w:t>
      </w:r>
      <w:r w:rsidRPr="002F4F3B">
        <w:rPr>
          <w:noProof/>
        </w:rPr>
        <w:t>f the Buffer Status reporting procedure determines that at least one BSR has been triggered and not cancelled:</w:t>
      </w:r>
    </w:p>
    <w:p w14:paraId="47CFD6BE" w14:textId="77777777" w:rsidR="00BA4205" w:rsidRPr="002F4F3B" w:rsidRDefault="00BA4205" w:rsidP="00BA4205">
      <w:pPr>
        <w:pStyle w:val="B2"/>
        <w:rPr>
          <w:noProof/>
        </w:rPr>
      </w:pPr>
      <w:r>
        <w:rPr>
          <w:rFonts w:hint="eastAsia"/>
          <w:noProof/>
          <w:lang w:eastAsia="ko-KR"/>
        </w:rPr>
        <w:t>2&gt;</w:t>
      </w:r>
      <w:r w:rsidRPr="002F4F3B">
        <w:rPr>
          <w:noProof/>
        </w:rPr>
        <w:tab/>
        <w:t xml:space="preserve">if </w:t>
      </w:r>
      <w:r w:rsidRPr="007671B9">
        <w:rPr>
          <w:noProof/>
        </w:rPr>
        <w:t xml:space="preserve">UL-SCH resources are available for a </w:t>
      </w:r>
      <w:r>
        <w:rPr>
          <w:rFonts w:hint="eastAsia"/>
          <w:noProof/>
          <w:lang w:eastAsia="ko-KR"/>
        </w:rPr>
        <w:t xml:space="preserve">new </w:t>
      </w:r>
      <w:r w:rsidRPr="007671B9">
        <w:rPr>
          <w:noProof/>
        </w:rPr>
        <w:t xml:space="preserve">transmission in this </w:t>
      </w:r>
      <w:r w:rsidRPr="007671B9">
        <w:rPr>
          <w:noProof/>
          <w:highlight w:val="yellow"/>
        </w:rPr>
        <w:t>NR-UNIT</w:t>
      </w:r>
      <w:r w:rsidRPr="002F4F3B">
        <w:rPr>
          <w:noProof/>
        </w:rPr>
        <w:t>:</w:t>
      </w:r>
    </w:p>
    <w:p w14:paraId="0B6E10CB" w14:textId="77777777" w:rsidR="00BA4205" w:rsidRDefault="00BA4205" w:rsidP="00BA4205">
      <w:pPr>
        <w:pStyle w:val="Guidance"/>
        <w:rPr>
          <w:lang w:eastAsia="ko-KR"/>
        </w:rPr>
      </w:pPr>
      <w:r w:rsidRPr="00FC14F8">
        <w:rPr>
          <w:lang w:eastAsia="ko-KR"/>
        </w:rPr>
        <w:t xml:space="preserve">Editor's note: </w:t>
      </w:r>
      <w:r>
        <w:rPr>
          <w:rFonts w:hint="eastAsia"/>
          <w:lang w:eastAsia="ko-KR"/>
        </w:rPr>
        <w:t xml:space="preserve">The term NR-UNIT is used tentatively </w:t>
      </w:r>
      <w:r>
        <w:rPr>
          <w:lang w:eastAsia="ko-KR"/>
        </w:rPr>
        <w:t>instead</w:t>
      </w:r>
      <w:r>
        <w:rPr>
          <w:rFonts w:hint="eastAsia"/>
          <w:lang w:eastAsia="ko-KR"/>
        </w:rPr>
        <w:t xml:space="preserve"> of TTI.</w:t>
      </w:r>
    </w:p>
    <w:p w14:paraId="1886E017" w14:textId="77777777" w:rsidR="00BA4205" w:rsidRPr="002F4F3B" w:rsidRDefault="00BA4205" w:rsidP="00BA4205">
      <w:pPr>
        <w:pStyle w:val="B3"/>
        <w:rPr>
          <w:noProof/>
        </w:rPr>
      </w:pPr>
      <w:r>
        <w:rPr>
          <w:rFonts w:hint="eastAsia"/>
          <w:noProof/>
          <w:lang w:eastAsia="ko-KR"/>
        </w:rPr>
        <w:t>3&gt;</w:t>
      </w:r>
      <w:r w:rsidRPr="002F4F3B">
        <w:rPr>
          <w:noProof/>
        </w:rPr>
        <w:tab/>
        <w:t xml:space="preserve">instruct the Multiplexing and Assembly procedure to generate the BSR MAC </w:t>
      </w:r>
      <w:r>
        <w:rPr>
          <w:rFonts w:hint="eastAsia"/>
          <w:noProof/>
          <w:lang w:eastAsia="ko-KR"/>
        </w:rPr>
        <w:t>CE(s)</w:t>
      </w:r>
      <w:r w:rsidRPr="002F4F3B">
        <w:rPr>
          <w:noProof/>
        </w:rPr>
        <w:t>;</w:t>
      </w:r>
    </w:p>
    <w:p w14:paraId="094F8982" w14:textId="77777777" w:rsidR="00BA4205" w:rsidRPr="002F4F3B" w:rsidRDefault="00BA4205" w:rsidP="00BA4205">
      <w:pPr>
        <w:pStyle w:val="B3"/>
        <w:rPr>
          <w:noProof/>
        </w:rPr>
      </w:pPr>
      <w:r>
        <w:rPr>
          <w:rFonts w:hint="eastAsia"/>
          <w:noProof/>
          <w:lang w:eastAsia="ko-KR"/>
        </w:rPr>
        <w:t>3&gt;</w:t>
      </w:r>
      <w:r w:rsidRPr="002F4F3B">
        <w:rPr>
          <w:noProof/>
        </w:rPr>
        <w:tab/>
        <w:t xml:space="preserve">start or restart </w:t>
      </w:r>
      <w:r w:rsidRPr="002F4F3B">
        <w:rPr>
          <w:i/>
          <w:noProof/>
        </w:rPr>
        <w:t>periodicBSR-Timer</w:t>
      </w:r>
      <w:ins w:id="31" w:author="Author">
        <w:r w:rsidRPr="00DF04A3">
          <w:rPr>
            <w:noProof/>
            <w:lang w:eastAsia="zh-CN"/>
          </w:rPr>
          <w:t xml:space="preserve"> </w:t>
        </w:r>
        <w:r w:rsidRPr="006846AE">
          <w:rPr>
            <w:noProof/>
            <w:lang w:eastAsia="zh-CN"/>
          </w:rPr>
          <w:t>except when all the generated BSRs are Truncated BSRs</w:t>
        </w:r>
      </w:ins>
      <w:r w:rsidRPr="002F4F3B">
        <w:rPr>
          <w:noProof/>
        </w:rPr>
        <w:t>;</w:t>
      </w:r>
    </w:p>
    <w:p w14:paraId="4B5AE7B7" w14:textId="68BC17FE" w:rsidR="00BA4205" w:rsidDel="00950876" w:rsidRDefault="00BA4205" w:rsidP="00BA4205">
      <w:pPr>
        <w:pStyle w:val="Guidance"/>
        <w:rPr>
          <w:del w:id="32" w:author="Author"/>
          <w:lang w:eastAsia="ko-KR"/>
        </w:rPr>
      </w:pPr>
      <w:del w:id="33" w:author="Author">
        <w:r w:rsidRPr="00FC14F8" w:rsidDel="00950876">
          <w:rPr>
            <w:lang w:eastAsia="ko-KR"/>
          </w:rPr>
          <w:delText xml:space="preserve">Editor's note: </w:delText>
        </w:r>
        <w:r w:rsidDel="00950876">
          <w:rPr>
            <w:rFonts w:hint="eastAsia"/>
            <w:lang w:eastAsia="ko-KR"/>
          </w:rPr>
          <w:delText>additional condition to not (re)start the periodic timer in LTE (i.e. truncated BSR) is not captured, and RAN2 should discuss detailed further.</w:delText>
        </w:r>
      </w:del>
    </w:p>
    <w:p w14:paraId="797826C0" w14:textId="77777777" w:rsidR="00BA4205" w:rsidRPr="002F4F3B" w:rsidRDefault="00BA4205" w:rsidP="00BA4205">
      <w:pPr>
        <w:pStyle w:val="B3"/>
        <w:rPr>
          <w:noProof/>
        </w:rPr>
      </w:pPr>
      <w:r>
        <w:rPr>
          <w:rFonts w:hint="eastAsia"/>
          <w:lang w:eastAsia="ko-KR"/>
        </w:rPr>
        <w:t>3&gt;</w:t>
      </w:r>
      <w:r w:rsidRPr="002F4F3B">
        <w:tab/>
        <w:t xml:space="preserve">start or restart </w:t>
      </w:r>
      <w:r w:rsidRPr="002F4F3B">
        <w:rPr>
          <w:i/>
          <w:noProof/>
        </w:rPr>
        <w:t>retxBSR-Timer</w:t>
      </w:r>
      <w:r w:rsidRPr="002F4F3B">
        <w:rPr>
          <w:noProof/>
        </w:rPr>
        <w:t>.</w:t>
      </w:r>
    </w:p>
    <w:p w14:paraId="11739AB3" w14:textId="77777777" w:rsidR="00BA4205" w:rsidRPr="002F4F3B" w:rsidRDefault="00BA4205" w:rsidP="00BA4205">
      <w:pPr>
        <w:pStyle w:val="B2"/>
        <w:rPr>
          <w:noProof/>
        </w:rPr>
      </w:pPr>
      <w:r>
        <w:rPr>
          <w:rFonts w:hint="eastAsia"/>
          <w:noProof/>
          <w:lang w:eastAsia="ko-KR"/>
        </w:rPr>
        <w:t>2&gt;</w:t>
      </w:r>
      <w:r w:rsidRPr="002F4F3B">
        <w:rPr>
          <w:noProof/>
        </w:rPr>
        <w:tab/>
        <w:t>else if a Regular BSR has been triggered</w:t>
      </w:r>
      <w:r>
        <w:rPr>
          <w:noProof/>
        </w:rPr>
        <w:t xml:space="preserve"> and </w:t>
      </w:r>
      <w:r w:rsidRPr="00D35E59">
        <w:rPr>
          <w:i/>
          <w:noProof/>
        </w:rPr>
        <w:t>logicalChannelSR</w:t>
      </w:r>
      <w:r>
        <w:rPr>
          <w:i/>
          <w:noProof/>
        </w:rPr>
        <w:t>-</w:t>
      </w:r>
      <w:r w:rsidRPr="00D35E59">
        <w:rPr>
          <w:i/>
          <w:noProof/>
        </w:rPr>
        <w:t>ProhibitTimer</w:t>
      </w:r>
      <w:r>
        <w:rPr>
          <w:noProof/>
        </w:rPr>
        <w:t xml:space="preserve"> is not running</w:t>
      </w:r>
      <w:r w:rsidRPr="002F4F3B">
        <w:rPr>
          <w:noProof/>
        </w:rPr>
        <w:t>:</w:t>
      </w:r>
    </w:p>
    <w:p w14:paraId="1B027DC0" w14:textId="77777777" w:rsidR="00BA4205" w:rsidRDefault="00BA4205" w:rsidP="00BA4205">
      <w:pPr>
        <w:pStyle w:val="B3"/>
        <w:rPr>
          <w:noProof/>
          <w:lang w:eastAsia="ko-KR"/>
        </w:rPr>
      </w:pPr>
      <w:r>
        <w:rPr>
          <w:rFonts w:hint="eastAsia"/>
          <w:noProof/>
          <w:lang w:eastAsia="ko-KR"/>
        </w:rPr>
        <w:t>3&gt;</w:t>
      </w:r>
      <w:r>
        <w:rPr>
          <w:rFonts w:hint="eastAsia"/>
          <w:noProof/>
          <w:lang w:eastAsia="ko-KR"/>
        </w:rPr>
        <w:tab/>
      </w:r>
      <w:r w:rsidRPr="002F4F3B">
        <w:rPr>
          <w:noProof/>
        </w:rPr>
        <w:t>if an uplink grant is not configured</w:t>
      </w:r>
      <w:r>
        <w:rPr>
          <w:rFonts w:hint="eastAsia"/>
          <w:noProof/>
          <w:lang w:eastAsia="ko-KR"/>
        </w:rPr>
        <w:t xml:space="preserve"> </w:t>
      </w:r>
      <w:r w:rsidRPr="00130BA5">
        <w:rPr>
          <w:noProof/>
          <w:lang w:eastAsia="ko-KR"/>
        </w:rPr>
        <w:t>(i.e. Semi-Persistent Scheduling)</w:t>
      </w:r>
      <w:r>
        <w:rPr>
          <w:rFonts w:hint="eastAsia"/>
          <w:noProof/>
          <w:lang w:eastAsia="ko-KR"/>
        </w:rPr>
        <w:t>;</w:t>
      </w:r>
      <w:r w:rsidRPr="002F4F3B">
        <w:rPr>
          <w:noProof/>
        </w:rPr>
        <w:t xml:space="preserve"> or</w:t>
      </w:r>
    </w:p>
    <w:p w14:paraId="499EF57B" w14:textId="77777777" w:rsidR="00BA4205" w:rsidRPr="002F4F3B" w:rsidRDefault="00BA4205" w:rsidP="00BA4205">
      <w:pPr>
        <w:pStyle w:val="B3"/>
        <w:rPr>
          <w:noProof/>
        </w:rPr>
      </w:pPr>
      <w:r>
        <w:rPr>
          <w:rFonts w:hint="eastAsia"/>
          <w:noProof/>
          <w:lang w:eastAsia="ko-KR"/>
        </w:rPr>
        <w:t>3&gt;</w:t>
      </w:r>
      <w:r>
        <w:rPr>
          <w:rFonts w:hint="eastAsia"/>
          <w:noProof/>
          <w:lang w:eastAsia="ko-KR"/>
        </w:rPr>
        <w:tab/>
        <w:t xml:space="preserve">if </w:t>
      </w:r>
      <w:r w:rsidRPr="002F4F3B">
        <w:rPr>
          <w:noProof/>
        </w:rPr>
        <w:t xml:space="preserve">the Regular BSR was </w:t>
      </w:r>
      <w:r>
        <w:rPr>
          <w:rFonts w:hint="eastAsia"/>
          <w:noProof/>
          <w:lang w:eastAsia="ko-KR"/>
        </w:rPr>
        <w:t xml:space="preserve">not </w:t>
      </w:r>
      <w:r w:rsidRPr="002F4F3B">
        <w:rPr>
          <w:noProof/>
        </w:rPr>
        <w:t>triggered for a logical channel for which logical channel SR masking (</w:t>
      </w:r>
      <w:r w:rsidRPr="002F4F3B">
        <w:rPr>
          <w:i/>
          <w:noProof/>
        </w:rPr>
        <w:t>logicalChannelSR-Mask</w:t>
      </w:r>
      <w:r w:rsidRPr="002F4F3B">
        <w:rPr>
          <w:noProof/>
        </w:rPr>
        <w:t xml:space="preserve">) </w:t>
      </w:r>
      <w:r>
        <w:rPr>
          <w:rFonts w:hint="eastAsia"/>
          <w:noProof/>
          <w:lang w:eastAsia="ko-KR"/>
        </w:rPr>
        <w:t>is setup by upper layers</w:t>
      </w:r>
      <w:r w:rsidRPr="002F4F3B">
        <w:rPr>
          <w:noProof/>
        </w:rPr>
        <w:t>:</w:t>
      </w:r>
    </w:p>
    <w:p w14:paraId="723C5B81" w14:textId="77777777" w:rsidR="00BA4205" w:rsidRPr="002F4F3B" w:rsidRDefault="00BA4205" w:rsidP="00BA4205">
      <w:pPr>
        <w:pStyle w:val="B4"/>
        <w:rPr>
          <w:noProof/>
        </w:rPr>
      </w:pPr>
      <w:r>
        <w:rPr>
          <w:rFonts w:hint="eastAsia"/>
          <w:noProof/>
          <w:lang w:eastAsia="ko-KR"/>
        </w:rPr>
        <w:t>4&gt;</w:t>
      </w:r>
      <w:r w:rsidRPr="002F4F3B">
        <w:rPr>
          <w:noProof/>
        </w:rPr>
        <w:tab/>
      </w:r>
      <w:r>
        <w:rPr>
          <w:rFonts w:hint="eastAsia"/>
          <w:noProof/>
          <w:lang w:eastAsia="ko-KR"/>
        </w:rPr>
        <w:t xml:space="preserve">trigger </w:t>
      </w:r>
      <w:r w:rsidRPr="002F4F3B">
        <w:rPr>
          <w:noProof/>
        </w:rPr>
        <w:t>a Scheduling Request.</w:t>
      </w:r>
    </w:p>
    <w:p w14:paraId="108F4C51" w14:textId="289CFB5B" w:rsidR="00BA4205" w:rsidRDefault="00BA4205" w:rsidP="00BA4205">
      <w:pPr>
        <w:rPr>
          <w:lang w:eastAsia="ko-KR"/>
        </w:rPr>
      </w:pPr>
      <w:r w:rsidRPr="00FD496A">
        <w:rPr>
          <w:lang w:eastAsia="ko-KR"/>
        </w:rPr>
        <w:t xml:space="preserve">A MAC PDU shall contain at most one MAC BSR </w:t>
      </w:r>
      <w:r>
        <w:rPr>
          <w:rFonts w:hint="eastAsia"/>
          <w:lang w:eastAsia="ko-KR"/>
        </w:rPr>
        <w:t>CE</w:t>
      </w:r>
      <w:r w:rsidRPr="00FD496A">
        <w:rPr>
          <w:lang w:eastAsia="ko-KR"/>
        </w:rPr>
        <w:t xml:space="preserve">, even when multiple events </w:t>
      </w:r>
      <w:r>
        <w:rPr>
          <w:rFonts w:hint="eastAsia"/>
          <w:lang w:eastAsia="ko-KR"/>
        </w:rPr>
        <w:t xml:space="preserve">have </w:t>
      </w:r>
      <w:r w:rsidRPr="00FD496A">
        <w:rPr>
          <w:lang w:eastAsia="ko-KR"/>
        </w:rPr>
        <w:t>trigge</w:t>
      </w:r>
      <w:r>
        <w:rPr>
          <w:rFonts w:hint="eastAsia"/>
          <w:lang w:eastAsia="ko-KR"/>
        </w:rPr>
        <w:t>red</w:t>
      </w:r>
      <w:r w:rsidRPr="00FD496A">
        <w:rPr>
          <w:lang w:eastAsia="ko-KR"/>
        </w:rPr>
        <w:t xml:space="preserve"> a BSR</w:t>
      </w:r>
      <w:r>
        <w:rPr>
          <w:rFonts w:hint="eastAsia"/>
          <w:lang w:eastAsia="ko-KR"/>
        </w:rPr>
        <w:t xml:space="preserve"> by the time</w:t>
      </w:r>
      <w:ins w:id="34" w:author="Author">
        <w:r w:rsidRPr="00F43FBB">
          <w:t xml:space="preserve"> </w:t>
        </w:r>
        <w:r w:rsidRPr="006846AE">
          <w:t>a BSR can be transmitted</w:t>
        </w:r>
        <w:r w:rsidR="00950876">
          <w:t xml:space="preserve">. In this </w:t>
        </w:r>
        <w:r w:rsidRPr="006846AE">
          <w:t>case the Regular BSR and the Periodic BSR shall have precedence over the padding BSR</w:t>
        </w:r>
      </w:ins>
      <w:r>
        <w:rPr>
          <w:rFonts w:hint="eastAsia"/>
          <w:lang w:eastAsia="ko-KR"/>
        </w:rPr>
        <w:t>.</w:t>
      </w:r>
    </w:p>
    <w:p w14:paraId="646F7AFE" w14:textId="77777777" w:rsidR="00BA4205" w:rsidRDefault="00BA4205" w:rsidP="00BA4205">
      <w:pPr>
        <w:rPr>
          <w:lang w:eastAsia="ko-KR"/>
        </w:rPr>
      </w:pPr>
      <w:r>
        <w:rPr>
          <w:lang w:eastAsia="ko-KR"/>
        </w:rPr>
        <w:t xml:space="preserve">The </w:t>
      </w:r>
      <w:r>
        <w:rPr>
          <w:rFonts w:hint="eastAsia"/>
          <w:lang w:eastAsia="ko-KR"/>
        </w:rPr>
        <w:t>MAC entity</w:t>
      </w:r>
      <w:r>
        <w:rPr>
          <w:lang w:eastAsia="ko-KR"/>
        </w:rPr>
        <w:t xml:space="preserve"> shall restart </w:t>
      </w:r>
      <w:r w:rsidRPr="00A051F8">
        <w:rPr>
          <w:i/>
          <w:highlight w:val="yellow"/>
          <w:lang w:eastAsia="ko-KR"/>
        </w:rPr>
        <w:t>retxBSR-Timer</w:t>
      </w:r>
      <w:r>
        <w:rPr>
          <w:lang w:eastAsia="ko-KR"/>
        </w:rPr>
        <w:t xml:space="preserve"> upon </w:t>
      </w:r>
      <w:r>
        <w:rPr>
          <w:rFonts w:hint="eastAsia"/>
          <w:lang w:eastAsia="ko-KR"/>
        </w:rPr>
        <w:t>reception</w:t>
      </w:r>
      <w:r>
        <w:rPr>
          <w:lang w:eastAsia="ko-KR"/>
        </w:rPr>
        <w:t xml:space="preserve"> of a grant for transmission of new data on any UL-SCH.</w:t>
      </w:r>
    </w:p>
    <w:p w14:paraId="08C95434" w14:textId="554B715D" w:rsidR="00505C9C" w:rsidRDefault="00505C9C" w:rsidP="00505C9C">
      <w:pPr>
        <w:rPr>
          <w:ins w:id="35" w:author="Author"/>
          <w:lang w:eastAsia="ko-KR"/>
        </w:rPr>
      </w:pPr>
      <w:ins w:id="36" w:author="Author">
        <w:r w:rsidRPr="006846AE">
          <w:rPr>
            <w:noProof/>
          </w:rPr>
          <w:t xml:space="preserve">All triggered BSRs shall be cancelled </w:t>
        </w:r>
        <w:r w:rsidR="002D440D">
          <w:rPr>
            <w:noProof/>
          </w:rPr>
          <w:t xml:space="preserve">if the </w:t>
        </w:r>
        <w:r w:rsidRPr="006846AE">
          <w:rPr>
            <w:noProof/>
          </w:rPr>
          <w:t>UL grant</w:t>
        </w:r>
        <w:r w:rsidR="002D440D">
          <w:rPr>
            <w:noProof/>
          </w:rPr>
          <w:t>(s) at one time</w:t>
        </w:r>
        <w:r w:rsidRPr="006846AE">
          <w:rPr>
            <w:noProof/>
          </w:rPr>
          <w:t xml:space="preserve"> can accommodate all pending data available for transmission but is not sufficient to additionally accommodate the BSR MAC control element plus its subheader. </w:t>
        </w:r>
        <w:r w:rsidRPr="006846AE">
          <w:t>All triggered BSRs shall be cancelled when a BSR is included in a MAC PDU for transmission</w:t>
        </w:r>
        <w:r>
          <w:t xml:space="preserve"> with the exception that a P</w:t>
        </w:r>
        <w:r w:rsidRPr="00C43B75">
          <w:rPr>
            <w:lang w:eastAsia="ko-KR"/>
          </w:rPr>
          <w:t xml:space="preserve">adding BSR </w:t>
        </w:r>
        <w:r>
          <w:rPr>
            <w:lang w:eastAsia="ko-KR"/>
          </w:rPr>
          <w:t xml:space="preserve">included in a MAC PDU for transmission does not </w:t>
        </w:r>
        <w:r w:rsidRPr="00C43B75">
          <w:rPr>
            <w:lang w:eastAsia="ko-KR"/>
          </w:rPr>
          <w:t>cancel a triggered Regular</w:t>
        </w:r>
        <w:r>
          <w:rPr>
            <w:lang w:eastAsia="ko-KR"/>
          </w:rPr>
          <w:t xml:space="preserve"> BSR or a triggered </w:t>
        </w:r>
        <w:r w:rsidRPr="00C43B75">
          <w:rPr>
            <w:lang w:eastAsia="ko-KR"/>
          </w:rPr>
          <w:t>Periodic BSR</w:t>
        </w:r>
        <w:r>
          <w:rPr>
            <w:lang w:eastAsia="ko-KR"/>
          </w:rPr>
          <w:t>.</w:t>
        </w:r>
      </w:ins>
    </w:p>
    <w:p w14:paraId="2EAFFF25" w14:textId="204438DB" w:rsidR="00505C9C" w:rsidRPr="006846AE" w:rsidDel="00E14675" w:rsidRDefault="00505C9C" w:rsidP="00505C9C">
      <w:pPr>
        <w:rPr>
          <w:ins w:id="37" w:author="Author"/>
        </w:rPr>
      </w:pPr>
      <w:ins w:id="38" w:author="Author">
        <w:r w:rsidRPr="006846AE" w:rsidDel="00E14675">
          <w:t xml:space="preserve">The </w:t>
        </w:r>
        <w:r w:rsidRPr="006846AE" w:rsidDel="00E14675">
          <w:rPr>
            <w:noProof/>
          </w:rPr>
          <w:t>MAC entity</w:t>
        </w:r>
        <w:r w:rsidRPr="006846AE" w:rsidDel="00E14675">
          <w:t xml:space="preserve"> shall transmit at most one Regular/Periodic BSR </w:t>
        </w:r>
        <w:r w:rsidR="002D440D">
          <w:t>at one time</w:t>
        </w:r>
        <w:r w:rsidRPr="006846AE" w:rsidDel="00E14675">
          <w:t xml:space="preserve">. If the </w:t>
        </w:r>
        <w:r w:rsidRPr="006846AE" w:rsidDel="00E14675">
          <w:rPr>
            <w:noProof/>
          </w:rPr>
          <w:t>MAC entity</w:t>
        </w:r>
        <w:r w:rsidRPr="006846AE" w:rsidDel="00E14675">
          <w:t xml:space="preserve"> is requested to transmit multiple MAC PDUs </w:t>
        </w:r>
        <w:r w:rsidR="002D440D">
          <w:t>at one time</w:t>
        </w:r>
        <w:r w:rsidRPr="006846AE" w:rsidDel="00E14675">
          <w:t xml:space="preserve">, it may include a </w:t>
        </w:r>
        <w:r w:rsidDel="00E14675">
          <w:t>P</w:t>
        </w:r>
        <w:r w:rsidRPr="006846AE" w:rsidDel="00E14675">
          <w:t>adding BSR in any of the MAC PDUs which do not contain a Regular/Periodic BSR.</w:t>
        </w:r>
      </w:ins>
    </w:p>
    <w:p w14:paraId="23CE4BA0" w14:textId="4415F422" w:rsidR="00BA4205" w:rsidDel="00505C9C" w:rsidRDefault="00BA4205" w:rsidP="00BA4205">
      <w:pPr>
        <w:pStyle w:val="Guidance"/>
        <w:rPr>
          <w:del w:id="39" w:author="Author"/>
          <w:lang w:eastAsia="ko-KR"/>
        </w:rPr>
      </w:pPr>
      <w:del w:id="40" w:author="Author">
        <w:r w:rsidDel="00505C9C">
          <w:rPr>
            <w:rFonts w:hint="eastAsia"/>
          </w:rPr>
          <w:delText xml:space="preserve">Editor's note: </w:delText>
        </w:r>
        <w:r w:rsidDel="00505C9C">
          <w:rPr>
            <w:rFonts w:hint="eastAsia"/>
            <w:lang w:eastAsia="ko-KR"/>
          </w:rPr>
          <w:delText>The BSR cancellation part needs to be captured</w:delText>
        </w:r>
        <w:r w:rsidRPr="009A4BF9" w:rsidDel="00505C9C">
          <w:rPr>
            <w:lang w:eastAsia="ko-KR"/>
          </w:rPr>
          <w:delText>.</w:delText>
        </w:r>
      </w:del>
    </w:p>
    <w:p w14:paraId="3C37FB70" w14:textId="41A03352" w:rsidR="00BA4205" w:rsidDel="002D440D" w:rsidRDefault="00BA4205" w:rsidP="00BA4205">
      <w:pPr>
        <w:pStyle w:val="Guidance"/>
        <w:rPr>
          <w:del w:id="41" w:author="Author"/>
          <w:lang w:eastAsia="ko-KR"/>
        </w:rPr>
      </w:pPr>
      <w:del w:id="42" w:author="Author">
        <w:r w:rsidDel="002D440D">
          <w:rPr>
            <w:rFonts w:hint="eastAsia"/>
          </w:rPr>
          <w:delText xml:space="preserve">Editor's note: </w:delText>
        </w:r>
        <w:r w:rsidDel="002D440D">
          <w:rPr>
            <w:rFonts w:hint="eastAsia"/>
            <w:lang w:eastAsia="ko-KR"/>
          </w:rPr>
          <w:delText>Detailed operations on long and short BSR need to be captured.</w:delText>
        </w:r>
      </w:del>
    </w:p>
    <w:p w14:paraId="4AB5C803" w14:textId="77777777" w:rsidR="00BA4205" w:rsidRPr="0058498E" w:rsidRDefault="00BA4205" w:rsidP="00BA4205"/>
    <w:p w14:paraId="54DDBB55" w14:textId="77777777" w:rsidR="002D440D" w:rsidRDefault="002D440D" w:rsidP="002D440D">
      <w:pPr>
        <w:pStyle w:val="Heading4"/>
        <w:numPr>
          <w:ilvl w:val="0"/>
          <w:numId w:val="0"/>
        </w:numPr>
        <w:ind w:left="864" w:hanging="864"/>
        <w:rPr>
          <w:lang w:eastAsia="ko-KR"/>
        </w:rPr>
      </w:pPr>
      <w:bookmarkStart w:id="43" w:name="_Toc491782032"/>
      <w:r w:rsidRPr="002D0259">
        <w:rPr>
          <w:lang w:eastAsia="ko-KR"/>
        </w:rPr>
        <w:t>6.1.3.1</w:t>
      </w:r>
      <w:r w:rsidRPr="002D0259">
        <w:rPr>
          <w:lang w:eastAsia="ko-KR"/>
        </w:rPr>
        <w:tab/>
        <w:t>Buffer Status Report MAC Control Elements</w:t>
      </w:r>
      <w:bookmarkEnd w:id="43"/>
    </w:p>
    <w:p w14:paraId="5968886A" w14:textId="77777777" w:rsidR="002D440D" w:rsidRDefault="002D440D" w:rsidP="002D440D">
      <w:pPr>
        <w:rPr>
          <w:lang w:eastAsia="ko-KR"/>
        </w:rPr>
      </w:pPr>
      <w:r w:rsidRPr="00A84C08">
        <w:rPr>
          <w:lang w:eastAsia="ko-KR"/>
        </w:rPr>
        <w:t>Buffer Status Report (BSR) MAC control elements consist of either:</w:t>
      </w:r>
    </w:p>
    <w:p w14:paraId="1A4630DD" w14:textId="014FB6E0" w:rsidR="002D440D" w:rsidRDefault="002D440D" w:rsidP="002D440D">
      <w:pPr>
        <w:pStyle w:val="B1"/>
        <w:rPr>
          <w:lang w:eastAsia="ko-KR"/>
        </w:rPr>
      </w:pPr>
      <w:r>
        <w:rPr>
          <w:rFonts w:hint="eastAsia"/>
          <w:lang w:eastAsia="ko-KR"/>
        </w:rPr>
        <w:t>-</w:t>
      </w:r>
      <w:r>
        <w:rPr>
          <w:rFonts w:hint="eastAsia"/>
          <w:lang w:eastAsia="ko-KR"/>
        </w:rPr>
        <w:tab/>
        <w:t>Short BSR format</w:t>
      </w:r>
      <w:ins w:id="44" w:author="Author">
        <w:r w:rsidRPr="002D440D">
          <w:rPr>
            <w:noProof/>
          </w:rPr>
          <w:t xml:space="preserve"> </w:t>
        </w:r>
        <w:r w:rsidRPr="006846AE">
          <w:rPr>
            <w:noProof/>
          </w:rPr>
          <w:t xml:space="preserve">one LCG ID field and one corresponding </w:t>
        </w:r>
        <w:r w:rsidRPr="006846AE">
          <w:t>Buffer Size</w:t>
        </w:r>
        <w:r w:rsidRPr="006846AE">
          <w:rPr>
            <w:noProof/>
          </w:rPr>
          <w:t xml:space="preserve"> field (figure 6.1.3.1-1</w:t>
        </w:r>
        <w:r>
          <w:rPr>
            <w:noProof/>
          </w:rPr>
          <w:t>)</w:t>
        </w:r>
      </w:ins>
      <w:r>
        <w:rPr>
          <w:rFonts w:hint="eastAsia"/>
          <w:lang w:eastAsia="ko-KR"/>
        </w:rPr>
        <w:t>; or</w:t>
      </w:r>
    </w:p>
    <w:p w14:paraId="11CD4669" w14:textId="5D7DD4B9" w:rsidR="002D440D" w:rsidRDefault="002D440D" w:rsidP="002D440D">
      <w:pPr>
        <w:pStyle w:val="B1"/>
        <w:rPr>
          <w:lang w:eastAsia="ko-KR"/>
        </w:rPr>
      </w:pPr>
      <w:r>
        <w:rPr>
          <w:rFonts w:hint="eastAsia"/>
          <w:lang w:eastAsia="ko-KR"/>
        </w:rPr>
        <w:t>-</w:t>
      </w:r>
      <w:r>
        <w:rPr>
          <w:rFonts w:hint="eastAsia"/>
          <w:lang w:eastAsia="ko-KR"/>
        </w:rPr>
        <w:tab/>
        <w:t>Truncated BSR format</w:t>
      </w:r>
      <w:ins w:id="45" w:author="Author">
        <w:r w:rsidRPr="002D440D">
          <w:rPr>
            <w:noProof/>
          </w:rPr>
          <w:t xml:space="preserve"> </w:t>
        </w:r>
        <w:r w:rsidRPr="006846AE">
          <w:rPr>
            <w:noProof/>
          </w:rPr>
          <w:t xml:space="preserve">one LCG ID field and one corresponding </w:t>
        </w:r>
        <w:r w:rsidRPr="006846AE">
          <w:t>Buffer Size</w:t>
        </w:r>
        <w:r w:rsidRPr="006846AE">
          <w:rPr>
            <w:noProof/>
          </w:rPr>
          <w:t xml:space="preserve"> field (figure 6.1.3.1-1</w:t>
        </w:r>
        <w:r>
          <w:rPr>
            <w:noProof/>
          </w:rPr>
          <w:t>)</w:t>
        </w:r>
      </w:ins>
      <w:r>
        <w:rPr>
          <w:rFonts w:hint="eastAsia"/>
          <w:lang w:eastAsia="ko-KR"/>
        </w:rPr>
        <w:t>; or</w:t>
      </w:r>
    </w:p>
    <w:p w14:paraId="0B12DF7F" w14:textId="14B31D73" w:rsidR="002D440D" w:rsidRDefault="002D440D" w:rsidP="002D440D">
      <w:pPr>
        <w:pStyle w:val="B1"/>
        <w:rPr>
          <w:ins w:id="46" w:author="Author"/>
          <w:lang w:eastAsia="ko-KR"/>
        </w:rPr>
      </w:pPr>
      <w:r>
        <w:rPr>
          <w:rFonts w:hint="eastAsia"/>
          <w:lang w:eastAsia="ko-KR"/>
        </w:rPr>
        <w:t>-</w:t>
      </w:r>
      <w:r>
        <w:rPr>
          <w:rFonts w:hint="eastAsia"/>
          <w:lang w:eastAsia="ko-KR"/>
        </w:rPr>
        <w:tab/>
        <w:t>Long BSR format</w:t>
      </w:r>
      <w:ins w:id="47" w:author="Author">
        <w:r w:rsidRPr="002D440D">
          <w:rPr>
            <w:noProof/>
          </w:rPr>
          <w:t xml:space="preserve"> </w:t>
        </w:r>
        <w:r w:rsidR="00997C3D">
          <w:rPr>
            <w:noProof/>
          </w:rPr>
          <w:t>one Buffer Size field per configured LCG for</w:t>
        </w:r>
        <w:r w:rsidR="006C6980">
          <w:rPr>
            <w:noProof/>
          </w:rPr>
          <w:t xml:space="preserve"> the MAC entity</w:t>
        </w:r>
        <w:r w:rsidRPr="006846AE">
          <w:rPr>
            <w:noProof/>
          </w:rPr>
          <w:t xml:space="preserve"> (figure 6.1.3.1-2)</w:t>
        </w:r>
      </w:ins>
      <w:r>
        <w:rPr>
          <w:rFonts w:hint="eastAsia"/>
          <w:lang w:eastAsia="ko-KR"/>
        </w:rPr>
        <w:t>.</w:t>
      </w:r>
    </w:p>
    <w:p w14:paraId="5B2A2732" w14:textId="21B6D43F" w:rsidR="002D440D" w:rsidRDefault="002D440D" w:rsidP="00D67253">
      <w:pPr>
        <w:rPr>
          <w:lang w:eastAsia="ko-KR"/>
        </w:rPr>
      </w:pPr>
      <w:ins w:id="48" w:author="Author">
        <w:r>
          <w:rPr>
            <w:lang w:eastAsia="ko-KR"/>
          </w:rPr>
          <w:t>The Short BSR format and the Truncated BSR format are fixed size MAC CE. The Long BSR format is not a fixed size MAC CE.</w:t>
        </w:r>
      </w:ins>
    </w:p>
    <w:p w14:paraId="6E14CB33" w14:textId="33CB7E60" w:rsidR="002D440D" w:rsidDel="002D440D" w:rsidRDefault="002D440D" w:rsidP="002D440D">
      <w:pPr>
        <w:pStyle w:val="Guidance"/>
        <w:rPr>
          <w:del w:id="49" w:author="Author"/>
          <w:lang w:eastAsia="ko-KR"/>
        </w:rPr>
      </w:pPr>
      <w:del w:id="50" w:author="Author">
        <w:r w:rsidDel="002D440D">
          <w:rPr>
            <w:rFonts w:hint="eastAsia"/>
            <w:lang w:eastAsia="ko-KR"/>
          </w:rPr>
          <w:delText>Editor's Note: Note that RAN2 agreed the following agreements, and to be captured by having e.g. MAC CE formats.</w:delText>
        </w:r>
      </w:del>
    </w:p>
    <w:p w14:paraId="2EC448FB" w14:textId="1D465966" w:rsidR="002D440D" w:rsidDel="002D440D" w:rsidRDefault="002D440D" w:rsidP="002D440D">
      <w:pPr>
        <w:pStyle w:val="Guidance"/>
        <w:rPr>
          <w:del w:id="51" w:author="Author"/>
          <w:lang w:eastAsia="ko-KR"/>
        </w:rPr>
      </w:pPr>
      <w:del w:id="52" w:author="Author">
        <w:r w:rsidDel="002D440D">
          <w:rPr>
            <w:rFonts w:hint="eastAsia"/>
            <w:lang w:eastAsia="ko-KR"/>
          </w:rPr>
          <w:delText xml:space="preserve">- </w:delText>
        </w:r>
        <w:r w:rsidRPr="007F2EA6" w:rsidDel="002D440D">
          <w:rPr>
            <w:lang w:eastAsia="ko-KR"/>
          </w:rPr>
          <w:delText>Short BSR format of one byte is supported.</w:delText>
        </w:r>
      </w:del>
    </w:p>
    <w:p w14:paraId="3B309CED" w14:textId="1E00ABB2" w:rsidR="002D440D" w:rsidDel="002D440D" w:rsidRDefault="002D440D" w:rsidP="002D440D">
      <w:pPr>
        <w:pStyle w:val="Guidance"/>
        <w:rPr>
          <w:del w:id="53" w:author="Author"/>
          <w:lang w:eastAsia="ko-KR"/>
        </w:rPr>
      </w:pPr>
      <w:del w:id="54" w:author="Author">
        <w:r w:rsidDel="002D440D">
          <w:rPr>
            <w:rFonts w:hint="eastAsia"/>
            <w:lang w:eastAsia="ko-KR"/>
          </w:rPr>
          <w:lastRenderedPageBreak/>
          <w:delText>-</w:delText>
        </w:r>
        <w:r w:rsidRPr="007F2EA6" w:rsidDel="002D440D">
          <w:rPr>
            <w:lang w:eastAsia="ko-KR"/>
          </w:rPr>
          <w:delText xml:space="preserve"> Truncated BSR format of 1 byte is at least supported</w:delText>
        </w:r>
        <w:r w:rsidDel="002D440D">
          <w:rPr>
            <w:lang w:eastAsia="ko-KR"/>
          </w:rPr>
          <w:delText>.</w:delText>
        </w:r>
      </w:del>
    </w:p>
    <w:p w14:paraId="5300FE79" w14:textId="47C56EB8" w:rsidR="002D440D" w:rsidDel="002D440D" w:rsidRDefault="002D440D" w:rsidP="002D440D">
      <w:pPr>
        <w:pStyle w:val="Guidance"/>
        <w:rPr>
          <w:del w:id="55" w:author="Author"/>
          <w:lang w:eastAsia="ko-KR"/>
        </w:rPr>
      </w:pPr>
      <w:del w:id="56" w:author="Author">
        <w:r w:rsidDel="002D440D">
          <w:rPr>
            <w:rFonts w:hint="eastAsia"/>
            <w:lang w:eastAsia="ko-KR"/>
          </w:rPr>
          <w:delText xml:space="preserve">- </w:delText>
        </w:r>
        <w:r w:rsidRPr="004A65F5" w:rsidDel="002D440D">
          <w:rPr>
            <w:lang w:eastAsia="ko-KR"/>
          </w:rPr>
          <w:delText xml:space="preserve">Flexible Long BSR format will be supported. </w:delText>
        </w:r>
        <w:r w:rsidRPr="00FD63EF" w:rsidDel="002D440D">
          <w:rPr>
            <w:lang w:eastAsia="ko-KR"/>
          </w:rPr>
          <w:delText>The number of LCGs to report is decided before the MAC PDU is constructed</w:delText>
        </w:r>
        <w:r w:rsidDel="002D440D">
          <w:rPr>
            <w:rFonts w:hint="eastAsia"/>
            <w:lang w:eastAsia="ko-KR"/>
          </w:rPr>
          <w:delText>.</w:delText>
        </w:r>
        <w:r w:rsidRPr="004A65F5" w:rsidDel="002D440D">
          <w:rPr>
            <w:lang w:eastAsia="ko-KR"/>
          </w:rPr>
          <w:delText xml:space="preserve"> </w:delText>
        </w:r>
      </w:del>
    </w:p>
    <w:p w14:paraId="682F41A5" w14:textId="77777777" w:rsidR="002D440D" w:rsidRDefault="002D440D" w:rsidP="002D440D">
      <w:pPr>
        <w:rPr>
          <w:lang w:eastAsia="ko-KR"/>
        </w:rPr>
      </w:pPr>
      <w:r w:rsidRPr="007F2EA6">
        <w:rPr>
          <w:lang w:eastAsia="ko-KR"/>
        </w:rPr>
        <w:t>The BSR formats are identified by MAC PDU subheaders with LCIDs as specified in table 6.2.1-2.</w:t>
      </w:r>
    </w:p>
    <w:p w14:paraId="77F64109" w14:textId="77777777" w:rsidR="002D440D" w:rsidRDefault="002D440D" w:rsidP="002D440D">
      <w:pPr>
        <w:rPr>
          <w:lang w:eastAsia="ko-KR"/>
        </w:rPr>
      </w:pPr>
      <w:r>
        <w:rPr>
          <w:rFonts w:hint="eastAsia"/>
          <w:lang w:eastAsia="ko-KR"/>
        </w:rPr>
        <w:t>The fields in the BSR MAC CE are defined as follows:</w:t>
      </w:r>
    </w:p>
    <w:p w14:paraId="3B617880" w14:textId="746A16BF" w:rsidR="006C6980" w:rsidRPr="006846AE" w:rsidRDefault="006C6980" w:rsidP="006C6980">
      <w:pPr>
        <w:pStyle w:val="B1"/>
        <w:rPr>
          <w:ins w:id="57" w:author="Author"/>
          <w:noProof/>
        </w:rPr>
      </w:pPr>
      <w:ins w:id="58" w:author="Author">
        <w:r w:rsidRPr="006846AE">
          <w:rPr>
            <w:noProof/>
          </w:rPr>
          <w:t>-</w:t>
        </w:r>
        <w:r w:rsidRPr="006846AE">
          <w:rPr>
            <w:noProof/>
          </w:rPr>
          <w:tab/>
          <w:t xml:space="preserve">LCG ID: The Logical Channel Group ID field identifies the group of logical channel(s) </w:t>
        </w:r>
        <w:r>
          <w:rPr>
            <w:noProof/>
          </w:rPr>
          <w:t xml:space="preserve">for </w:t>
        </w:r>
        <w:r w:rsidRPr="006846AE">
          <w:rPr>
            <w:noProof/>
          </w:rPr>
          <w:t xml:space="preserve">which buffer status is being reported. The length of the field is </w:t>
        </w:r>
        <w:r>
          <w:rPr>
            <w:noProof/>
          </w:rPr>
          <w:t>3</w:t>
        </w:r>
        <w:r w:rsidRPr="006846AE">
          <w:rPr>
            <w:noProof/>
          </w:rPr>
          <w:t xml:space="preserve"> bits.</w:t>
        </w:r>
      </w:ins>
    </w:p>
    <w:p w14:paraId="3D29FE44" w14:textId="078B01D3" w:rsidR="002D440D" w:rsidRDefault="002D440D" w:rsidP="002D440D">
      <w:pPr>
        <w:pStyle w:val="B1"/>
        <w:rPr>
          <w:ins w:id="59" w:author="Author"/>
          <w:lang w:eastAsia="ko-KR"/>
        </w:rPr>
      </w:pPr>
      <w:r>
        <w:rPr>
          <w:rFonts w:hint="eastAsia"/>
          <w:lang w:eastAsia="ko-KR"/>
        </w:rPr>
        <w:t>-</w:t>
      </w:r>
      <w:r>
        <w:rPr>
          <w:rFonts w:hint="eastAsia"/>
          <w:lang w:eastAsia="ko-KR"/>
        </w:rPr>
        <w:tab/>
        <w:t xml:space="preserve">Buffer Size: </w:t>
      </w:r>
      <w:r w:rsidRPr="00346C5F">
        <w:rPr>
          <w:lang w:eastAsia="ko-KR"/>
        </w:rPr>
        <w:t>The Buffer Size field identifies the total amount of data available according to the data volume calculation procedure</w:t>
      </w:r>
      <w:r>
        <w:rPr>
          <w:rFonts w:hint="eastAsia"/>
          <w:lang w:eastAsia="ko-KR"/>
        </w:rPr>
        <w:t xml:space="preserve"> </w:t>
      </w:r>
      <w:r w:rsidRPr="00271E36">
        <w:rPr>
          <w:lang w:eastAsia="ko-KR"/>
        </w:rPr>
        <w:t>in TS</w:t>
      </w:r>
      <w:r>
        <w:rPr>
          <w:rFonts w:hint="eastAsia"/>
          <w:lang w:eastAsia="ko-KR"/>
        </w:rPr>
        <w:t>s</w:t>
      </w:r>
      <w:r w:rsidRPr="00271E36">
        <w:rPr>
          <w:lang w:eastAsia="ko-KR"/>
        </w:rPr>
        <w:t xml:space="preserve"> 38.</w:t>
      </w:r>
      <w:r>
        <w:rPr>
          <w:rFonts w:hint="eastAsia"/>
          <w:lang w:eastAsia="ko-KR"/>
        </w:rPr>
        <w:t>322 and 38.323</w:t>
      </w:r>
      <w:r w:rsidRPr="00346C5F">
        <w:rPr>
          <w:lang w:eastAsia="ko-KR"/>
        </w:rPr>
        <w:t xml:space="preserve"> [3] [4]</w:t>
      </w:r>
      <w:r>
        <w:rPr>
          <w:rFonts w:hint="eastAsia"/>
          <w:lang w:eastAsia="ko-KR"/>
        </w:rPr>
        <w:t xml:space="preserve"> </w:t>
      </w:r>
      <w:r w:rsidRPr="00346C5F">
        <w:rPr>
          <w:lang w:eastAsia="ko-KR"/>
        </w:rPr>
        <w:t xml:space="preserve">across all logical channels of a logical channel group after all MAC PDUs for the </w:t>
      </w:r>
      <w:r w:rsidRPr="002D35A7">
        <w:rPr>
          <w:rFonts w:hint="eastAsia"/>
          <w:highlight w:val="red"/>
          <w:lang w:eastAsia="ko-KR"/>
        </w:rPr>
        <w:t>NR-UNIT</w:t>
      </w:r>
      <w:r w:rsidRPr="00346C5F">
        <w:rPr>
          <w:lang w:eastAsia="ko-KR"/>
        </w:rPr>
        <w:t xml:space="preserve"> have been built</w:t>
      </w:r>
      <w:r>
        <w:rPr>
          <w:rFonts w:hint="eastAsia"/>
          <w:lang w:eastAsia="ko-KR"/>
        </w:rPr>
        <w:t xml:space="preserve"> (i.e. after the logical channel prioritization procedure)</w:t>
      </w:r>
      <w:r w:rsidRPr="00346C5F">
        <w:rPr>
          <w:lang w:eastAsia="ko-KR"/>
        </w:rPr>
        <w:t xml:space="preserve">. </w:t>
      </w:r>
      <w:r w:rsidRPr="004D3884">
        <w:rPr>
          <w:lang w:eastAsia="ko-KR"/>
        </w:rPr>
        <w:t>The amount of data is indicated in number of bytes.</w:t>
      </w:r>
      <w:r>
        <w:rPr>
          <w:rFonts w:hint="eastAsia"/>
          <w:lang w:eastAsia="ko-KR"/>
        </w:rPr>
        <w:t xml:space="preserve"> </w:t>
      </w:r>
      <w:r w:rsidRPr="00C43616">
        <w:rPr>
          <w:lang w:eastAsia="ko-KR"/>
        </w:rPr>
        <w:t xml:space="preserve">The length of this field is </w:t>
      </w:r>
      <w:ins w:id="60" w:author="Author">
        <w:r>
          <w:rPr>
            <w:lang w:eastAsia="ko-KR"/>
          </w:rPr>
          <w:t>8 bits for Long BSR format, 5 bits for Short BSR format</w:t>
        </w:r>
        <w:r w:rsidR="006C6980">
          <w:rPr>
            <w:lang w:eastAsia="ko-KR"/>
          </w:rPr>
          <w:t>,</w:t>
        </w:r>
        <w:r>
          <w:rPr>
            <w:lang w:eastAsia="ko-KR"/>
          </w:rPr>
          <w:t xml:space="preserve"> and </w:t>
        </w:r>
        <w:r w:rsidR="006C6980">
          <w:rPr>
            <w:lang w:eastAsia="ko-KR"/>
          </w:rPr>
          <w:t xml:space="preserve">5 bits </w:t>
        </w:r>
        <w:r>
          <w:rPr>
            <w:lang w:eastAsia="ko-KR"/>
          </w:rPr>
          <w:t>Truncated BSR format</w:t>
        </w:r>
      </w:ins>
      <w:del w:id="61" w:author="Author">
        <w:r w:rsidRPr="002D35A7" w:rsidDel="002D440D">
          <w:rPr>
            <w:rFonts w:hint="eastAsia"/>
            <w:highlight w:val="yellow"/>
            <w:lang w:eastAsia="ko-KR"/>
          </w:rPr>
          <w:delText>TBD</w:delText>
        </w:r>
        <w:r w:rsidRPr="00C43616" w:rsidDel="002D440D">
          <w:rPr>
            <w:lang w:eastAsia="ko-KR"/>
          </w:rPr>
          <w:delText xml:space="preserve"> bits</w:delText>
        </w:r>
      </w:del>
      <w:r w:rsidRPr="00C43616">
        <w:rPr>
          <w:lang w:eastAsia="ko-KR"/>
        </w:rPr>
        <w:t>.</w:t>
      </w:r>
      <w:ins w:id="62" w:author="Author">
        <w:r w:rsidR="00997C3D">
          <w:rPr>
            <w:lang w:eastAsia="ko-KR"/>
          </w:rPr>
          <w:t xml:space="preserve"> For Long BSR format the values taken by the Buffer Size field are shown in Table 6.1.3.1-1. For Short BSR format and for </w:t>
        </w:r>
        <w:r w:rsidR="00385325">
          <w:rPr>
            <w:lang w:eastAsia="ko-KR"/>
          </w:rPr>
          <w:t>Truncated</w:t>
        </w:r>
        <w:r w:rsidR="00997C3D">
          <w:rPr>
            <w:lang w:eastAsia="ko-KR"/>
          </w:rPr>
          <w:t xml:space="preserve"> BSR format the values taken by the Buffer Size field are shown in Table 6.1.3.1-2.</w:t>
        </w:r>
      </w:ins>
    </w:p>
    <w:p w14:paraId="287BD290" w14:textId="53B7D30E" w:rsidR="006C6980" w:rsidRPr="006846AE" w:rsidRDefault="006C6980" w:rsidP="006C6980">
      <w:pPr>
        <w:pStyle w:val="TH"/>
        <w:rPr>
          <w:ins w:id="63" w:author="Author"/>
          <w:noProof/>
        </w:rPr>
      </w:pPr>
      <w:ins w:id="64" w:author="Author">
        <w:r w:rsidRPr="006846AE">
          <w:rPr>
            <w:noProof/>
          </w:rPr>
          <w:object w:dxaOrig="3496" w:dyaOrig="676" w14:anchorId="1AB83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5pt;height:33.85pt" o:ole="">
              <v:imagedata r:id="rId8" o:title=""/>
            </v:shape>
            <o:OLEObject Type="Embed" ProgID="Visio.Drawing.11" ShapeID="_x0000_i1025" DrawAspect="Content" ObjectID="_1568154530" r:id="rId9"/>
          </w:object>
        </w:r>
      </w:ins>
    </w:p>
    <w:p w14:paraId="314994A3" w14:textId="77777777" w:rsidR="006C6980" w:rsidRPr="006846AE" w:rsidRDefault="006C6980" w:rsidP="006C6980">
      <w:pPr>
        <w:pStyle w:val="TF"/>
        <w:rPr>
          <w:ins w:id="65" w:author="Author"/>
          <w:noProof/>
        </w:rPr>
      </w:pPr>
      <w:ins w:id="66" w:author="Author">
        <w:r w:rsidRPr="006846AE">
          <w:rPr>
            <w:noProof/>
          </w:rPr>
          <w:t>Figure 6.1.3.1-1: Short BSR and Truncated BSR MAC control element</w:t>
        </w:r>
      </w:ins>
    </w:p>
    <w:bookmarkStart w:id="67" w:name="_GoBack"/>
    <w:p w14:paraId="0F79C14F" w14:textId="507702A3" w:rsidR="006C6980" w:rsidRPr="006846AE" w:rsidRDefault="006C6980" w:rsidP="006C6980">
      <w:pPr>
        <w:pStyle w:val="TH"/>
        <w:rPr>
          <w:ins w:id="68" w:author="Author"/>
          <w:noProof/>
        </w:rPr>
      </w:pPr>
      <w:ins w:id="69" w:author="Author">
        <w:r w:rsidRPr="006846AE">
          <w:rPr>
            <w:noProof/>
          </w:rPr>
          <w:object w:dxaOrig="4200" w:dyaOrig="2445" w14:anchorId="1ED94005">
            <v:shape id="_x0000_i1026" type="#_x0000_t75" style="width:210.1pt;height:121.95pt" o:ole="">
              <v:imagedata r:id="rId10" o:title=""/>
            </v:shape>
            <o:OLEObject Type="Embed" ProgID="Visio.Drawing.11" ShapeID="_x0000_i1026" DrawAspect="Content" ObjectID="_1568154531" r:id="rId11"/>
          </w:object>
        </w:r>
      </w:ins>
      <w:bookmarkEnd w:id="67"/>
    </w:p>
    <w:p w14:paraId="4CF99DBC" w14:textId="77777777" w:rsidR="006C6980" w:rsidRPr="006846AE" w:rsidRDefault="006C6980" w:rsidP="006C6980">
      <w:pPr>
        <w:pStyle w:val="TF"/>
        <w:rPr>
          <w:ins w:id="70" w:author="Author"/>
          <w:noProof/>
        </w:rPr>
      </w:pPr>
      <w:ins w:id="71" w:author="Author">
        <w:r w:rsidRPr="006846AE">
          <w:rPr>
            <w:noProof/>
          </w:rPr>
          <w:t>Figure 6.1.3.1-2: Long BSR MAC control element</w:t>
        </w:r>
      </w:ins>
    </w:p>
    <w:p w14:paraId="44F3778C" w14:textId="77777777" w:rsidR="006C6980" w:rsidRDefault="006C6980" w:rsidP="002D440D">
      <w:pPr>
        <w:pStyle w:val="B1"/>
        <w:rPr>
          <w:lang w:eastAsia="ko-KR"/>
        </w:rPr>
      </w:pPr>
    </w:p>
    <w:p w14:paraId="0F0C4442" w14:textId="31831F67" w:rsidR="002D440D" w:rsidDel="00385325" w:rsidRDefault="002D440D" w:rsidP="002D440D">
      <w:pPr>
        <w:pStyle w:val="Guidance"/>
        <w:rPr>
          <w:del w:id="72" w:author="Author"/>
          <w:lang w:eastAsia="ko-KR"/>
        </w:rPr>
      </w:pPr>
      <w:del w:id="73" w:author="Author">
        <w:r w:rsidDel="00385325">
          <w:rPr>
            <w:rFonts w:hint="eastAsia"/>
            <w:lang w:eastAsia="ko-KR"/>
          </w:rPr>
          <w:delText>Editor's Note: Size of BS field is not determined yet.</w:delText>
        </w:r>
      </w:del>
    </w:p>
    <w:p w14:paraId="64A34B60" w14:textId="0FDBB29B" w:rsidR="002D440D" w:rsidDel="00385325" w:rsidRDefault="002D440D" w:rsidP="002D440D">
      <w:pPr>
        <w:pStyle w:val="Guidance"/>
        <w:rPr>
          <w:del w:id="74" w:author="Author"/>
          <w:lang w:eastAsia="ko-KR"/>
        </w:rPr>
      </w:pPr>
      <w:del w:id="75" w:author="Author">
        <w:r w:rsidDel="00385325">
          <w:rPr>
            <w:rFonts w:hint="eastAsia"/>
            <w:lang w:eastAsia="ko-KR"/>
          </w:rPr>
          <w:delText xml:space="preserve">Editor's Note: Depending on the RAN2 agreements, additional field can be added (e.g. LCGID, </w:delText>
        </w:r>
        <w:r w:rsidDel="00385325">
          <w:rPr>
            <w:lang w:eastAsia="ko-KR"/>
          </w:rPr>
          <w:delText>…</w:delText>
        </w:r>
        <w:r w:rsidDel="00385325">
          <w:rPr>
            <w:rFonts w:hint="eastAsia"/>
            <w:lang w:eastAsia="ko-KR"/>
          </w:rPr>
          <w:delText>).</w:delText>
        </w:r>
      </w:del>
    </w:p>
    <w:p w14:paraId="644E5C69" w14:textId="4620616D" w:rsidR="00385325" w:rsidRPr="006846AE" w:rsidRDefault="00385325" w:rsidP="00385325">
      <w:pPr>
        <w:pStyle w:val="TH"/>
        <w:rPr>
          <w:ins w:id="76" w:author="Author"/>
          <w:noProof/>
        </w:rPr>
      </w:pPr>
      <w:bookmarkStart w:id="77" w:name="_Ref199746086"/>
      <w:ins w:id="78" w:author="Author">
        <w:r w:rsidRPr="006846AE">
          <w:rPr>
            <w:noProof/>
          </w:rPr>
          <w:t>Table</w:t>
        </w:r>
        <w:bookmarkEnd w:id="77"/>
        <w:r w:rsidRPr="006846AE">
          <w:rPr>
            <w:noProof/>
          </w:rPr>
          <w:t xml:space="preserve"> 6.1.3.1-1: Buffer size levels for </w:t>
        </w:r>
        <w:r>
          <w:rPr>
            <w:noProof/>
          </w:rPr>
          <w:t xml:space="preserve">Long </w:t>
        </w:r>
        <w:r w:rsidRPr="006846AE">
          <w:rPr>
            <w:noProof/>
          </w:rPr>
          <w:t>BSR</w:t>
        </w:r>
        <w:r>
          <w:rPr>
            <w:noProof/>
          </w:rPr>
          <w:t xml:space="preserve"> format</w:t>
        </w:r>
      </w:ins>
    </w:p>
    <w:p w14:paraId="2092A820" w14:textId="77777777" w:rsidR="00385325" w:rsidRDefault="00385325" w:rsidP="00241510">
      <w:pPr>
        <w:pStyle w:val="Guidance"/>
        <w:rPr>
          <w:ins w:id="79" w:author="Author"/>
          <w:noProof/>
        </w:rPr>
      </w:pPr>
      <w:ins w:id="80" w:author="Author">
        <w:r>
          <w:t>Editor's note: This table is pending RAN1 input.</w:t>
        </w:r>
        <w:r w:rsidRPr="00385325">
          <w:rPr>
            <w:noProof/>
          </w:rPr>
          <w:t xml:space="preserve"> </w:t>
        </w:r>
      </w:ins>
    </w:p>
    <w:p w14:paraId="66207501" w14:textId="1BF19560" w:rsidR="00385325" w:rsidRPr="006846AE" w:rsidRDefault="00385325" w:rsidP="00385325">
      <w:pPr>
        <w:pStyle w:val="TH"/>
        <w:rPr>
          <w:ins w:id="81" w:author="Author"/>
          <w:noProof/>
        </w:rPr>
      </w:pPr>
      <w:ins w:id="82" w:author="Author">
        <w:r w:rsidRPr="006846AE">
          <w:rPr>
            <w:noProof/>
          </w:rPr>
          <w:lastRenderedPageBreak/>
          <w:t>Table 6.1.3.1-</w:t>
        </w:r>
        <w:r>
          <w:rPr>
            <w:noProof/>
          </w:rPr>
          <w:t>2</w:t>
        </w:r>
        <w:r w:rsidRPr="006846AE">
          <w:rPr>
            <w:noProof/>
          </w:rPr>
          <w:t xml:space="preserve">: Buffer size levels for </w:t>
        </w:r>
        <w:r>
          <w:rPr>
            <w:noProof/>
          </w:rPr>
          <w:t xml:space="preserve">Short </w:t>
        </w:r>
        <w:r w:rsidRPr="006846AE">
          <w:rPr>
            <w:noProof/>
          </w:rPr>
          <w:t>BSR</w:t>
        </w:r>
        <w:r>
          <w:rPr>
            <w:noProof/>
          </w:rPr>
          <w:t xml:space="preserve"> format and for Truncated BSR format</w:t>
        </w:r>
      </w:ins>
    </w:p>
    <w:tbl>
      <w:tblPr>
        <w:tblW w:w="7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2838"/>
        <w:gridCol w:w="710"/>
        <w:gridCol w:w="2818"/>
      </w:tblGrid>
      <w:tr w:rsidR="007C0E55" w:rsidRPr="006846AE" w14:paraId="33AD2F65" w14:textId="77777777" w:rsidTr="00110C6A">
        <w:trPr>
          <w:jc w:val="center"/>
          <w:ins w:id="83" w:author="Author"/>
        </w:trPr>
        <w:tc>
          <w:tcPr>
            <w:tcW w:w="781" w:type="dxa"/>
            <w:tcBorders>
              <w:top w:val="single" w:sz="12" w:space="0" w:color="auto"/>
              <w:left w:val="single" w:sz="12" w:space="0" w:color="auto"/>
              <w:bottom w:val="single" w:sz="12" w:space="0" w:color="auto"/>
              <w:right w:val="single" w:sz="2" w:space="0" w:color="auto"/>
            </w:tcBorders>
            <w:shd w:val="clear" w:color="auto" w:fill="auto"/>
          </w:tcPr>
          <w:p w14:paraId="3DEC9620" w14:textId="77777777" w:rsidR="007C0E55" w:rsidRPr="006846AE" w:rsidRDefault="007C0E55" w:rsidP="00110C6A">
            <w:pPr>
              <w:keepNext/>
              <w:keepLines/>
              <w:spacing w:before="20" w:after="20"/>
              <w:jc w:val="center"/>
              <w:rPr>
                <w:ins w:id="84" w:author="Author"/>
                <w:rFonts w:eastAsia="Malgun Gothic"/>
                <w:b/>
                <w:noProof/>
                <w:sz w:val="18"/>
              </w:rPr>
            </w:pPr>
            <w:ins w:id="85" w:author="Author">
              <w:r w:rsidRPr="006846AE">
                <w:rPr>
                  <w:rFonts w:eastAsia="Malgun Gothic"/>
                  <w:b/>
                  <w:noProof/>
                  <w:sz w:val="18"/>
                </w:rPr>
                <w:t>Index</w:t>
              </w:r>
            </w:ins>
          </w:p>
        </w:tc>
        <w:tc>
          <w:tcPr>
            <w:tcW w:w="2838" w:type="dxa"/>
            <w:tcBorders>
              <w:top w:val="single" w:sz="12" w:space="0" w:color="auto"/>
              <w:left w:val="single" w:sz="2" w:space="0" w:color="auto"/>
              <w:bottom w:val="single" w:sz="12" w:space="0" w:color="auto"/>
              <w:right w:val="single" w:sz="12" w:space="0" w:color="auto"/>
            </w:tcBorders>
            <w:shd w:val="clear" w:color="auto" w:fill="auto"/>
          </w:tcPr>
          <w:p w14:paraId="38480FAF" w14:textId="77777777" w:rsidR="007C0E55" w:rsidRPr="006846AE" w:rsidRDefault="007C0E55" w:rsidP="00110C6A">
            <w:pPr>
              <w:keepNext/>
              <w:keepLines/>
              <w:spacing w:before="20" w:after="20"/>
              <w:jc w:val="center"/>
              <w:rPr>
                <w:ins w:id="86" w:author="Author"/>
                <w:rFonts w:eastAsia="Malgun Gothic"/>
                <w:b/>
                <w:noProof/>
                <w:sz w:val="18"/>
              </w:rPr>
            </w:pPr>
            <w:ins w:id="87" w:author="Author">
              <w:r w:rsidRPr="006846AE">
                <w:rPr>
                  <w:rFonts w:eastAsia="Malgun Gothic"/>
                  <w:b/>
                  <w:noProof/>
                  <w:sz w:val="18"/>
                </w:rPr>
                <w:t>Buffer Size (BS) value [bytes]</w:t>
              </w:r>
            </w:ins>
          </w:p>
        </w:tc>
        <w:tc>
          <w:tcPr>
            <w:tcW w:w="710" w:type="dxa"/>
            <w:tcBorders>
              <w:top w:val="single" w:sz="12" w:space="0" w:color="auto"/>
              <w:left w:val="single" w:sz="12" w:space="0" w:color="auto"/>
              <w:bottom w:val="single" w:sz="12" w:space="0" w:color="auto"/>
              <w:right w:val="single" w:sz="2" w:space="0" w:color="auto"/>
            </w:tcBorders>
            <w:shd w:val="clear" w:color="auto" w:fill="auto"/>
          </w:tcPr>
          <w:p w14:paraId="3F8E800B" w14:textId="77777777" w:rsidR="007C0E55" w:rsidRPr="006846AE" w:rsidRDefault="007C0E55" w:rsidP="00110C6A">
            <w:pPr>
              <w:keepNext/>
              <w:keepLines/>
              <w:spacing w:before="20" w:after="20"/>
              <w:jc w:val="center"/>
              <w:rPr>
                <w:ins w:id="88" w:author="Author"/>
                <w:rFonts w:eastAsia="Malgun Gothic"/>
                <w:b/>
                <w:noProof/>
                <w:sz w:val="18"/>
              </w:rPr>
            </w:pPr>
            <w:ins w:id="89" w:author="Author">
              <w:r w:rsidRPr="006846AE">
                <w:rPr>
                  <w:rFonts w:eastAsia="Malgun Gothic"/>
                  <w:b/>
                  <w:noProof/>
                  <w:sz w:val="18"/>
                </w:rPr>
                <w:t>Index</w:t>
              </w:r>
            </w:ins>
          </w:p>
        </w:tc>
        <w:tc>
          <w:tcPr>
            <w:tcW w:w="2818" w:type="dxa"/>
            <w:tcBorders>
              <w:top w:val="single" w:sz="12" w:space="0" w:color="auto"/>
              <w:left w:val="single" w:sz="2" w:space="0" w:color="auto"/>
              <w:bottom w:val="single" w:sz="12" w:space="0" w:color="auto"/>
              <w:right w:val="single" w:sz="12" w:space="0" w:color="auto"/>
            </w:tcBorders>
            <w:shd w:val="clear" w:color="auto" w:fill="auto"/>
          </w:tcPr>
          <w:p w14:paraId="58D30D2C" w14:textId="77777777" w:rsidR="007C0E55" w:rsidRPr="006846AE" w:rsidRDefault="007C0E55" w:rsidP="00110C6A">
            <w:pPr>
              <w:keepNext/>
              <w:keepLines/>
              <w:spacing w:before="20" w:after="20"/>
              <w:jc w:val="center"/>
              <w:rPr>
                <w:ins w:id="90" w:author="Author"/>
                <w:rFonts w:eastAsia="Malgun Gothic"/>
                <w:b/>
                <w:noProof/>
                <w:sz w:val="18"/>
              </w:rPr>
            </w:pPr>
            <w:ins w:id="91" w:author="Author">
              <w:r w:rsidRPr="006846AE">
                <w:rPr>
                  <w:rFonts w:eastAsia="Malgun Gothic"/>
                  <w:b/>
                  <w:noProof/>
                  <w:sz w:val="18"/>
                </w:rPr>
                <w:t>Buffer Size (BS) value [bytes]</w:t>
              </w:r>
            </w:ins>
          </w:p>
        </w:tc>
      </w:tr>
      <w:tr w:rsidR="00DA243E" w:rsidRPr="006846AE" w14:paraId="4EE77FA3" w14:textId="77777777" w:rsidTr="00110C6A">
        <w:trPr>
          <w:trHeight w:val="170"/>
          <w:jc w:val="center"/>
          <w:ins w:id="92" w:author="Author"/>
        </w:trPr>
        <w:tc>
          <w:tcPr>
            <w:tcW w:w="781" w:type="dxa"/>
            <w:tcBorders>
              <w:top w:val="single" w:sz="12" w:space="0" w:color="auto"/>
              <w:left w:val="single" w:sz="12" w:space="0" w:color="auto"/>
            </w:tcBorders>
            <w:shd w:val="clear" w:color="auto" w:fill="auto"/>
          </w:tcPr>
          <w:p w14:paraId="16000A70" w14:textId="77777777" w:rsidR="00DA243E" w:rsidRPr="006846AE" w:rsidRDefault="00DA243E" w:rsidP="00DA243E">
            <w:pPr>
              <w:keepNext/>
              <w:keepLines/>
              <w:spacing w:beforeLines="20" w:before="48" w:afterLines="20" w:after="48"/>
              <w:jc w:val="center"/>
              <w:rPr>
                <w:ins w:id="93" w:author="Author"/>
                <w:rFonts w:eastAsia="Malgun Gothic"/>
                <w:noProof/>
                <w:sz w:val="18"/>
              </w:rPr>
            </w:pPr>
            <w:ins w:id="94" w:author="Author">
              <w:r w:rsidRPr="006846AE">
                <w:rPr>
                  <w:rFonts w:eastAsia="Malgun Gothic"/>
                  <w:noProof/>
                  <w:sz w:val="18"/>
                </w:rPr>
                <w:t>0</w:t>
              </w:r>
            </w:ins>
          </w:p>
        </w:tc>
        <w:tc>
          <w:tcPr>
            <w:tcW w:w="2838" w:type="dxa"/>
            <w:tcBorders>
              <w:top w:val="single" w:sz="12" w:space="0" w:color="auto"/>
              <w:right w:val="single" w:sz="12" w:space="0" w:color="auto"/>
            </w:tcBorders>
            <w:shd w:val="clear" w:color="auto" w:fill="auto"/>
          </w:tcPr>
          <w:p w14:paraId="1A9D2EE0" w14:textId="77777777" w:rsidR="00DA243E" w:rsidRPr="006846AE" w:rsidRDefault="00DA243E" w:rsidP="00DA243E">
            <w:pPr>
              <w:keepNext/>
              <w:keepLines/>
              <w:spacing w:beforeLines="20" w:before="48" w:afterLines="20" w:after="48"/>
              <w:jc w:val="center"/>
              <w:rPr>
                <w:ins w:id="95" w:author="Author"/>
                <w:rFonts w:eastAsia="Malgun Gothic"/>
                <w:noProof/>
                <w:sz w:val="18"/>
              </w:rPr>
            </w:pPr>
            <w:ins w:id="96" w:author="Author">
              <w:r w:rsidRPr="006846AE">
                <w:rPr>
                  <w:rFonts w:eastAsia="Malgun Gothic"/>
                  <w:noProof/>
                  <w:sz w:val="18"/>
                </w:rPr>
                <w:t>BS = 0</w:t>
              </w:r>
            </w:ins>
          </w:p>
        </w:tc>
        <w:tc>
          <w:tcPr>
            <w:tcW w:w="710" w:type="dxa"/>
            <w:tcBorders>
              <w:top w:val="single" w:sz="12" w:space="0" w:color="auto"/>
              <w:left w:val="single" w:sz="12" w:space="0" w:color="auto"/>
            </w:tcBorders>
            <w:shd w:val="clear" w:color="auto" w:fill="auto"/>
          </w:tcPr>
          <w:p w14:paraId="1B1C0618" w14:textId="6E04E541" w:rsidR="00DA243E" w:rsidRPr="006846AE" w:rsidRDefault="00DA243E" w:rsidP="00DA243E">
            <w:pPr>
              <w:keepNext/>
              <w:keepLines/>
              <w:spacing w:beforeLines="20" w:before="48" w:afterLines="20" w:after="48"/>
              <w:jc w:val="center"/>
              <w:rPr>
                <w:ins w:id="97" w:author="Author"/>
                <w:rFonts w:eastAsia="Malgun Gothic"/>
                <w:noProof/>
                <w:sz w:val="18"/>
              </w:rPr>
            </w:pPr>
            <w:ins w:id="98" w:author="Author">
              <w:r>
                <w:rPr>
                  <w:rFonts w:eastAsia="Malgun Gothic"/>
                  <w:noProof/>
                  <w:sz w:val="18"/>
                </w:rPr>
                <w:t>16</w:t>
              </w:r>
            </w:ins>
          </w:p>
        </w:tc>
        <w:tc>
          <w:tcPr>
            <w:tcW w:w="2818" w:type="dxa"/>
            <w:tcBorders>
              <w:top w:val="single" w:sz="12" w:space="0" w:color="auto"/>
              <w:right w:val="single" w:sz="12" w:space="0" w:color="auto"/>
            </w:tcBorders>
            <w:shd w:val="clear" w:color="auto" w:fill="auto"/>
            <w:vAlign w:val="bottom"/>
          </w:tcPr>
          <w:p w14:paraId="1D227B79" w14:textId="79D20D2A" w:rsidR="00DA243E" w:rsidRPr="006846AE" w:rsidRDefault="00DA243E" w:rsidP="00DA243E">
            <w:pPr>
              <w:keepNext/>
              <w:keepLines/>
              <w:spacing w:before="20" w:after="20"/>
              <w:jc w:val="center"/>
              <w:rPr>
                <w:ins w:id="99" w:author="Author"/>
                <w:rFonts w:eastAsia="Malgun Gothic"/>
                <w:noProof/>
                <w:sz w:val="18"/>
              </w:rPr>
            </w:pPr>
            <w:ins w:id="100" w:author="Author">
              <w:r w:rsidRPr="006846AE">
                <w:rPr>
                  <w:rFonts w:eastAsia="Malgun Gothic"/>
                  <w:noProof/>
                  <w:sz w:val="18"/>
                </w:rPr>
                <w:t>91 &lt; BS &lt;= 107</w:t>
              </w:r>
            </w:ins>
          </w:p>
        </w:tc>
      </w:tr>
      <w:tr w:rsidR="00DA243E" w:rsidRPr="006846AE" w14:paraId="07D459C2" w14:textId="77777777" w:rsidTr="00110C6A">
        <w:trPr>
          <w:trHeight w:val="170"/>
          <w:jc w:val="center"/>
          <w:ins w:id="101" w:author="Author"/>
        </w:trPr>
        <w:tc>
          <w:tcPr>
            <w:tcW w:w="781" w:type="dxa"/>
            <w:tcBorders>
              <w:left w:val="single" w:sz="12" w:space="0" w:color="auto"/>
            </w:tcBorders>
            <w:shd w:val="clear" w:color="auto" w:fill="auto"/>
          </w:tcPr>
          <w:p w14:paraId="22187046" w14:textId="77777777" w:rsidR="00DA243E" w:rsidRPr="006846AE" w:rsidRDefault="00DA243E" w:rsidP="00DA243E">
            <w:pPr>
              <w:keepNext/>
              <w:keepLines/>
              <w:spacing w:beforeLines="20" w:before="48" w:afterLines="20" w:after="48"/>
              <w:jc w:val="center"/>
              <w:rPr>
                <w:ins w:id="102" w:author="Author"/>
                <w:rFonts w:eastAsia="Malgun Gothic"/>
                <w:noProof/>
                <w:sz w:val="18"/>
              </w:rPr>
            </w:pPr>
            <w:ins w:id="103" w:author="Author">
              <w:r w:rsidRPr="006846AE">
                <w:rPr>
                  <w:rFonts w:eastAsia="Malgun Gothic"/>
                  <w:noProof/>
                  <w:sz w:val="18"/>
                </w:rPr>
                <w:t>1</w:t>
              </w:r>
            </w:ins>
          </w:p>
        </w:tc>
        <w:tc>
          <w:tcPr>
            <w:tcW w:w="2838" w:type="dxa"/>
            <w:tcBorders>
              <w:right w:val="single" w:sz="12" w:space="0" w:color="auto"/>
            </w:tcBorders>
            <w:shd w:val="clear" w:color="auto" w:fill="auto"/>
            <w:vAlign w:val="bottom"/>
          </w:tcPr>
          <w:p w14:paraId="1E980207" w14:textId="77777777" w:rsidR="00DA243E" w:rsidRPr="006846AE" w:rsidRDefault="00DA243E" w:rsidP="00DA243E">
            <w:pPr>
              <w:keepNext/>
              <w:keepLines/>
              <w:spacing w:before="20" w:after="20"/>
              <w:jc w:val="center"/>
              <w:rPr>
                <w:ins w:id="104" w:author="Author"/>
                <w:rFonts w:eastAsia="Malgun Gothic"/>
                <w:noProof/>
                <w:sz w:val="18"/>
              </w:rPr>
            </w:pPr>
            <w:ins w:id="105" w:author="Author">
              <w:r w:rsidRPr="006846AE">
                <w:rPr>
                  <w:rFonts w:eastAsia="Malgun Gothic"/>
                  <w:noProof/>
                  <w:sz w:val="18"/>
                </w:rPr>
                <w:t>0 &lt; BS &lt;= 10</w:t>
              </w:r>
            </w:ins>
          </w:p>
        </w:tc>
        <w:tc>
          <w:tcPr>
            <w:tcW w:w="710" w:type="dxa"/>
            <w:tcBorders>
              <w:left w:val="single" w:sz="12" w:space="0" w:color="auto"/>
            </w:tcBorders>
            <w:shd w:val="clear" w:color="auto" w:fill="auto"/>
          </w:tcPr>
          <w:p w14:paraId="48927CCA" w14:textId="3055F635" w:rsidR="00DA243E" w:rsidRPr="006846AE" w:rsidRDefault="00DA243E" w:rsidP="00DA243E">
            <w:pPr>
              <w:keepNext/>
              <w:keepLines/>
              <w:spacing w:beforeLines="20" w:before="48" w:afterLines="20" w:after="48"/>
              <w:jc w:val="center"/>
              <w:rPr>
                <w:ins w:id="106" w:author="Author"/>
                <w:rFonts w:eastAsia="Malgun Gothic"/>
                <w:noProof/>
                <w:sz w:val="18"/>
              </w:rPr>
            </w:pPr>
            <w:ins w:id="107" w:author="Author">
              <w:r>
                <w:rPr>
                  <w:rFonts w:eastAsia="Malgun Gothic"/>
                  <w:noProof/>
                  <w:sz w:val="18"/>
                </w:rPr>
                <w:t>17</w:t>
              </w:r>
            </w:ins>
          </w:p>
        </w:tc>
        <w:tc>
          <w:tcPr>
            <w:tcW w:w="2818" w:type="dxa"/>
            <w:tcBorders>
              <w:right w:val="single" w:sz="12" w:space="0" w:color="auto"/>
            </w:tcBorders>
            <w:shd w:val="clear" w:color="auto" w:fill="auto"/>
            <w:vAlign w:val="bottom"/>
          </w:tcPr>
          <w:p w14:paraId="36CA3EB4" w14:textId="0A4FFE65" w:rsidR="00DA243E" w:rsidRPr="006846AE" w:rsidRDefault="00DA243E" w:rsidP="00DA243E">
            <w:pPr>
              <w:keepNext/>
              <w:keepLines/>
              <w:spacing w:before="20" w:after="20"/>
              <w:jc w:val="center"/>
              <w:rPr>
                <w:ins w:id="108" w:author="Author"/>
                <w:rFonts w:eastAsia="Malgun Gothic"/>
                <w:noProof/>
                <w:sz w:val="18"/>
              </w:rPr>
            </w:pPr>
            <w:ins w:id="109" w:author="Author">
              <w:r w:rsidRPr="006846AE">
                <w:rPr>
                  <w:rFonts w:eastAsia="Malgun Gothic"/>
                  <w:noProof/>
                  <w:sz w:val="18"/>
                </w:rPr>
                <w:t>107 &lt; BS &lt;= 125</w:t>
              </w:r>
            </w:ins>
          </w:p>
        </w:tc>
      </w:tr>
      <w:tr w:rsidR="00DA243E" w:rsidRPr="006846AE" w14:paraId="2A6298D8" w14:textId="77777777" w:rsidTr="00110C6A">
        <w:trPr>
          <w:trHeight w:val="170"/>
          <w:jc w:val="center"/>
          <w:ins w:id="110" w:author="Author"/>
        </w:trPr>
        <w:tc>
          <w:tcPr>
            <w:tcW w:w="781" w:type="dxa"/>
            <w:tcBorders>
              <w:left w:val="single" w:sz="12" w:space="0" w:color="auto"/>
            </w:tcBorders>
            <w:shd w:val="clear" w:color="auto" w:fill="auto"/>
          </w:tcPr>
          <w:p w14:paraId="78841D32" w14:textId="77777777" w:rsidR="00DA243E" w:rsidRPr="006846AE" w:rsidRDefault="00DA243E" w:rsidP="00DA243E">
            <w:pPr>
              <w:keepNext/>
              <w:keepLines/>
              <w:spacing w:beforeLines="20" w:before="48" w:afterLines="20" w:after="48"/>
              <w:jc w:val="center"/>
              <w:rPr>
                <w:ins w:id="111" w:author="Author"/>
                <w:rFonts w:eastAsia="Malgun Gothic"/>
                <w:noProof/>
                <w:sz w:val="18"/>
              </w:rPr>
            </w:pPr>
            <w:ins w:id="112" w:author="Author">
              <w:r w:rsidRPr="006846AE">
                <w:rPr>
                  <w:rFonts w:eastAsia="Malgun Gothic"/>
                  <w:noProof/>
                  <w:sz w:val="18"/>
                </w:rPr>
                <w:t>2</w:t>
              </w:r>
            </w:ins>
          </w:p>
        </w:tc>
        <w:tc>
          <w:tcPr>
            <w:tcW w:w="2838" w:type="dxa"/>
            <w:tcBorders>
              <w:right w:val="single" w:sz="12" w:space="0" w:color="auto"/>
            </w:tcBorders>
            <w:shd w:val="clear" w:color="auto" w:fill="auto"/>
            <w:vAlign w:val="bottom"/>
          </w:tcPr>
          <w:p w14:paraId="7F61106E" w14:textId="77777777" w:rsidR="00DA243E" w:rsidRPr="006846AE" w:rsidRDefault="00DA243E" w:rsidP="00DA243E">
            <w:pPr>
              <w:keepNext/>
              <w:keepLines/>
              <w:spacing w:before="20" w:after="20"/>
              <w:jc w:val="center"/>
              <w:rPr>
                <w:ins w:id="113" w:author="Author"/>
                <w:rFonts w:eastAsia="Malgun Gothic"/>
                <w:noProof/>
                <w:sz w:val="18"/>
              </w:rPr>
            </w:pPr>
            <w:ins w:id="114" w:author="Author">
              <w:r w:rsidRPr="006846AE">
                <w:rPr>
                  <w:rFonts w:eastAsia="Malgun Gothic"/>
                  <w:noProof/>
                  <w:sz w:val="18"/>
                </w:rPr>
                <w:t>10 &lt; BS &lt;= 12</w:t>
              </w:r>
            </w:ins>
          </w:p>
        </w:tc>
        <w:tc>
          <w:tcPr>
            <w:tcW w:w="710" w:type="dxa"/>
            <w:tcBorders>
              <w:left w:val="single" w:sz="12" w:space="0" w:color="auto"/>
            </w:tcBorders>
            <w:shd w:val="clear" w:color="auto" w:fill="auto"/>
          </w:tcPr>
          <w:p w14:paraId="49C0432C" w14:textId="2F3B1335" w:rsidR="00DA243E" w:rsidRPr="006846AE" w:rsidRDefault="00DA243E" w:rsidP="00DA243E">
            <w:pPr>
              <w:keepNext/>
              <w:keepLines/>
              <w:spacing w:beforeLines="20" w:before="48" w:afterLines="20" w:after="48"/>
              <w:jc w:val="center"/>
              <w:rPr>
                <w:ins w:id="115" w:author="Author"/>
                <w:rFonts w:eastAsia="Malgun Gothic"/>
                <w:noProof/>
                <w:sz w:val="18"/>
              </w:rPr>
            </w:pPr>
            <w:ins w:id="116" w:author="Author">
              <w:r>
                <w:rPr>
                  <w:rFonts w:eastAsia="Malgun Gothic"/>
                  <w:noProof/>
                  <w:sz w:val="18"/>
                </w:rPr>
                <w:t>18</w:t>
              </w:r>
            </w:ins>
          </w:p>
        </w:tc>
        <w:tc>
          <w:tcPr>
            <w:tcW w:w="2818" w:type="dxa"/>
            <w:tcBorders>
              <w:right w:val="single" w:sz="12" w:space="0" w:color="auto"/>
            </w:tcBorders>
            <w:shd w:val="clear" w:color="auto" w:fill="auto"/>
            <w:vAlign w:val="bottom"/>
          </w:tcPr>
          <w:p w14:paraId="6FDDC885" w14:textId="39DF1F2A" w:rsidR="00DA243E" w:rsidRPr="006846AE" w:rsidRDefault="00DA243E" w:rsidP="00DA243E">
            <w:pPr>
              <w:keepNext/>
              <w:keepLines/>
              <w:spacing w:before="20" w:after="20"/>
              <w:jc w:val="center"/>
              <w:rPr>
                <w:ins w:id="117" w:author="Author"/>
                <w:rFonts w:eastAsia="Malgun Gothic"/>
                <w:noProof/>
                <w:sz w:val="18"/>
              </w:rPr>
            </w:pPr>
            <w:ins w:id="118" w:author="Author">
              <w:r w:rsidRPr="006846AE">
                <w:rPr>
                  <w:rFonts w:eastAsia="Malgun Gothic"/>
                  <w:noProof/>
                  <w:sz w:val="18"/>
                </w:rPr>
                <w:t>125 &lt; BS &lt;= 146</w:t>
              </w:r>
            </w:ins>
          </w:p>
        </w:tc>
      </w:tr>
      <w:tr w:rsidR="00DA243E" w:rsidRPr="006846AE" w14:paraId="6634C2F8" w14:textId="77777777" w:rsidTr="00110C6A">
        <w:trPr>
          <w:trHeight w:val="170"/>
          <w:jc w:val="center"/>
          <w:ins w:id="119" w:author="Author"/>
        </w:trPr>
        <w:tc>
          <w:tcPr>
            <w:tcW w:w="781" w:type="dxa"/>
            <w:tcBorders>
              <w:left w:val="single" w:sz="12" w:space="0" w:color="auto"/>
            </w:tcBorders>
            <w:shd w:val="clear" w:color="auto" w:fill="auto"/>
          </w:tcPr>
          <w:p w14:paraId="238E5A22" w14:textId="77777777" w:rsidR="00DA243E" w:rsidRPr="006846AE" w:rsidRDefault="00DA243E" w:rsidP="00DA243E">
            <w:pPr>
              <w:keepNext/>
              <w:keepLines/>
              <w:spacing w:beforeLines="20" w:before="48" w:afterLines="20" w:after="48"/>
              <w:jc w:val="center"/>
              <w:rPr>
                <w:ins w:id="120" w:author="Author"/>
                <w:rFonts w:eastAsia="Malgun Gothic"/>
                <w:noProof/>
                <w:sz w:val="18"/>
              </w:rPr>
            </w:pPr>
            <w:ins w:id="121" w:author="Author">
              <w:r w:rsidRPr="006846AE">
                <w:rPr>
                  <w:rFonts w:eastAsia="Malgun Gothic"/>
                  <w:noProof/>
                  <w:sz w:val="18"/>
                </w:rPr>
                <w:t>3</w:t>
              </w:r>
            </w:ins>
          </w:p>
        </w:tc>
        <w:tc>
          <w:tcPr>
            <w:tcW w:w="2838" w:type="dxa"/>
            <w:tcBorders>
              <w:right w:val="single" w:sz="12" w:space="0" w:color="auto"/>
            </w:tcBorders>
            <w:shd w:val="clear" w:color="auto" w:fill="auto"/>
            <w:vAlign w:val="bottom"/>
          </w:tcPr>
          <w:p w14:paraId="27247EA7" w14:textId="77777777" w:rsidR="00DA243E" w:rsidRPr="006846AE" w:rsidRDefault="00DA243E" w:rsidP="00DA243E">
            <w:pPr>
              <w:keepNext/>
              <w:keepLines/>
              <w:spacing w:before="20" w:after="20"/>
              <w:jc w:val="center"/>
              <w:rPr>
                <w:ins w:id="122" w:author="Author"/>
                <w:rFonts w:eastAsia="Malgun Gothic"/>
                <w:noProof/>
                <w:sz w:val="18"/>
              </w:rPr>
            </w:pPr>
            <w:ins w:id="123" w:author="Author">
              <w:r w:rsidRPr="006846AE">
                <w:rPr>
                  <w:rFonts w:eastAsia="Malgun Gothic"/>
                  <w:noProof/>
                  <w:sz w:val="18"/>
                </w:rPr>
                <w:t>12 &lt; BS &lt;= 14</w:t>
              </w:r>
            </w:ins>
          </w:p>
        </w:tc>
        <w:tc>
          <w:tcPr>
            <w:tcW w:w="710" w:type="dxa"/>
            <w:tcBorders>
              <w:left w:val="single" w:sz="12" w:space="0" w:color="auto"/>
            </w:tcBorders>
            <w:shd w:val="clear" w:color="auto" w:fill="auto"/>
          </w:tcPr>
          <w:p w14:paraId="3E1B9E44" w14:textId="63B53BB1" w:rsidR="00DA243E" w:rsidRPr="006846AE" w:rsidRDefault="00DA243E" w:rsidP="00DA243E">
            <w:pPr>
              <w:keepNext/>
              <w:keepLines/>
              <w:spacing w:beforeLines="20" w:before="48" w:afterLines="20" w:after="48"/>
              <w:jc w:val="center"/>
              <w:rPr>
                <w:ins w:id="124" w:author="Author"/>
                <w:rFonts w:eastAsia="Malgun Gothic"/>
                <w:noProof/>
                <w:sz w:val="18"/>
              </w:rPr>
            </w:pPr>
            <w:ins w:id="125" w:author="Author">
              <w:r>
                <w:rPr>
                  <w:rFonts w:eastAsia="Malgun Gothic"/>
                  <w:noProof/>
                  <w:sz w:val="18"/>
                </w:rPr>
                <w:t>19</w:t>
              </w:r>
            </w:ins>
          </w:p>
        </w:tc>
        <w:tc>
          <w:tcPr>
            <w:tcW w:w="2818" w:type="dxa"/>
            <w:tcBorders>
              <w:right w:val="single" w:sz="12" w:space="0" w:color="auto"/>
            </w:tcBorders>
            <w:shd w:val="clear" w:color="auto" w:fill="auto"/>
            <w:vAlign w:val="bottom"/>
          </w:tcPr>
          <w:p w14:paraId="44936920" w14:textId="3FBB6A1F" w:rsidR="00DA243E" w:rsidRPr="006846AE" w:rsidRDefault="00DA243E" w:rsidP="00DA243E">
            <w:pPr>
              <w:keepNext/>
              <w:keepLines/>
              <w:spacing w:before="20" w:after="20"/>
              <w:jc w:val="center"/>
              <w:rPr>
                <w:ins w:id="126" w:author="Author"/>
                <w:rFonts w:eastAsia="Malgun Gothic"/>
                <w:noProof/>
                <w:sz w:val="18"/>
              </w:rPr>
            </w:pPr>
            <w:ins w:id="127" w:author="Author">
              <w:r w:rsidRPr="006846AE">
                <w:rPr>
                  <w:rFonts w:eastAsia="Malgun Gothic"/>
                  <w:noProof/>
                  <w:sz w:val="18"/>
                </w:rPr>
                <w:t>146 &lt; BS &lt;= 171</w:t>
              </w:r>
            </w:ins>
          </w:p>
        </w:tc>
      </w:tr>
      <w:tr w:rsidR="00DA243E" w:rsidRPr="006846AE" w14:paraId="4CDAA687" w14:textId="77777777" w:rsidTr="00110C6A">
        <w:trPr>
          <w:trHeight w:val="170"/>
          <w:jc w:val="center"/>
          <w:ins w:id="128" w:author="Author"/>
        </w:trPr>
        <w:tc>
          <w:tcPr>
            <w:tcW w:w="781" w:type="dxa"/>
            <w:tcBorders>
              <w:left w:val="single" w:sz="12" w:space="0" w:color="auto"/>
            </w:tcBorders>
            <w:shd w:val="clear" w:color="auto" w:fill="auto"/>
          </w:tcPr>
          <w:p w14:paraId="112895D7" w14:textId="77777777" w:rsidR="00DA243E" w:rsidRPr="006846AE" w:rsidRDefault="00DA243E" w:rsidP="00DA243E">
            <w:pPr>
              <w:keepNext/>
              <w:keepLines/>
              <w:spacing w:beforeLines="20" w:before="48" w:afterLines="20" w:after="48"/>
              <w:jc w:val="center"/>
              <w:rPr>
                <w:ins w:id="129" w:author="Author"/>
                <w:rFonts w:eastAsia="Malgun Gothic"/>
                <w:noProof/>
                <w:sz w:val="18"/>
              </w:rPr>
            </w:pPr>
            <w:ins w:id="130" w:author="Author">
              <w:r w:rsidRPr="006846AE">
                <w:rPr>
                  <w:rFonts w:eastAsia="Malgun Gothic"/>
                  <w:noProof/>
                  <w:sz w:val="18"/>
                </w:rPr>
                <w:t>4</w:t>
              </w:r>
            </w:ins>
          </w:p>
        </w:tc>
        <w:tc>
          <w:tcPr>
            <w:tcW w:w="2838" w:type="dxa"/>
            <w:tcBorders>
              <w:right w:val="single" w:sz="12" w:space="0" w:color="auto"/>
            </w:tcBorders>
            <w:shd w:val="clear" w:color="auto" w:fill="auto"/>
            <w:vAlign w:val="bottom"/>
          </w:tcPr>
          <w:p w14:paraId="5D09023D" w14:textId="77777777" w:rsidR="00DA243E" w:rsidRPr="006846AE" w:rsidRDefault="00DA243E" w:rsidP="00DA243E">
            <w:pPr>
              <w:keepNext/>
              <w:keepLines/>
              <w:spacing w:before="20" w:after="20"/>
              <w:jc w:val="center"/>
              <w:rPr>
                <w:ins w:id="131" w:author="Author"/>
                <w:rFonts w:eastAsia="Malgun Gothic"/>
                <w:noProof/>
                <w:sz w:val="18"/>
              </w:rPr>
            </w:pPr>
            <w:ins w:id="132" w:author="Author">
              <w:r w:rsidRPr="006846AE">
                <w:rPr>
                  <w:rFonts w:eastAsia="Malgun Gothic"/>
                  <w:noProof/>
                  <w:sz w:val="18"/>
                </w:rPr>
                <w:t>14 &lt; BS &lt;= 17</w:t>
              </w:r>
            </w:ins>
          </w:p>
        </w:tc>
        <w:tc>
          <w:tcPr>
            <w:tcW w:w="710" w:type="dxa"/>
            <w:tcBorders>
              <w:left w:val="single" w:sz="12" w:space="0" w:color="auto"/>
            </w:tcBorders>
            <w:shd w:val="clear" w:color="auto" w:fill="auto"/>
          </w:tcPr>
          <w:p w14:paraId="3DA7D3A6" w14:textId="5D639221" w:rsidR="00DA243E" w:rsidRPr="006846AE" w:rsidRDefault="00DA243E" w:rsidP="00DA243E">
            <w:pPr>
              <w:keepNext/>
              <w:keepLines/>
              <w:spacing w:beforeLines="20" w:before="48" w:afterLines="20" w:after="48"/>
              <w:jc w:val="center"/>
              <w:rPr>
                <w:ins w:id="133" w:author="Author"/>
                <w:rFonts w:eastAsia="Malgun Gothic"/>
                <w:noProof/>
                <w:sz w:val="18"/>
              </w:rPr>
            </w:pPr>
            <w:ins w:id="134" w:author="Author">
              <w:r>
                <w:rPr>
                  <w:rFonts w:eastAsia="Malgun Gothic"/>
                  <w:noProof/>
                  <w:sz w:val="18"/>
                </w:rPr>
                <w:t>20</w:t>
              </w:r>
            </w:ins>
          </w:p>
        </w:tc>
        <w:tc>
          <w:tcPr>
            <w:tcW w:w="2818" w:type="dxa"/>
            <w:tcBorders>
              <w:right w:val="single" w:sz="12" w:space="0" w:color="auto"/>
            </w:tcBorders>
            <w:shd w:val="clear" w:color="auto" w:fill="auto"/>
            <w:vAlign w:val="bottom"/>
          </w:tcPr>
          <w:p w14:paraId="6A6F59F3" w14:textId="13E2F544" w:rsidR="00DA243E" w:rsidRPr="006846AE" w:rsidRDefault="00DA243E" w:rsidP="00DA243E">
            <w:pPr>
              <w:keepNext/>
              <w:keepLines/>
              <w:spacing w:before="20" w:after="20"/>
              <w:jc w:val="center"/>
              <w:rPr>
                <w:ins w:id="135" w:author="Author"/>
                <w:rFonts w:eastAsia="Malgun Gothic"/>
                <w:noProof/>
                <w:sz w:val="18"/>
              </w:rPr>
            </w:pPr>
            <w:ins w:id="136" w:author="Author">
              <w:r w:rsidRPr="006846AE">
                <w:rPr>
                  <w:rFonts w:eastAsia="Malgun Gothic"/>
                  <w:noProof/>
                  <w:sz w:val="18"/>
                </w:rPr>
                <w:t>171 &lt; BS &lt;= 200</w:t>
              </w:r>
            </w:ins>
          </w:p>
        </w:tc>
      </w:tr>
      <w:tr w:rsidR="00DA243E" w:rsidRPr="006846AE" w14:paraId="5C1565E6" w14:textId="77777777" w:rsidTr="00110C6A">
        <w:trPr>
          <w:trHeight w:val="170"/>
          <w:jc w:val="center"/>
          <w:ins w:id="137" w:author="Author"/>
        </w:trPr>
        <w:tc>
          <w:tcPr>
            <w:tcW w:w="781" w:type="dxa"/>
            <w:tcBorders>
              <w:left w:val="single" w:sz="12" w:space="0" w:color="auto"/>
            </w:tcBorders>
            <w:shd w:val="clear" w:color="auto" w:fill="auto"/>
          </w:tcPr>
          <w:p w14:paraId="7B336E6B" w14:textId="77777777" w:rsidR="00DA243E" w:rsidRPr="006846AE" w:rsidRDefault="00DA243E" w:rsidP="00DA243E">
            <w:pPr>
              <w:keepNext/>
              <w:keepLines/>
              <w:spacing w:beforeLines="20" w:before="48" w:afterLines="20" w:after="48"/>
              <w:jc w:val="center"/>
              <w:rPr>
                <w:ins w:id="138" w:author="Author"/>
                <w:rFonts w:eastAsia="Malgun Gothic"/>
                <w:noProof/>
                <w:sz w:val="18"/>
              </w:rPr>
            </w:pPr>
            <w:ins w:id="139" w:author="Author">
              <w:r w:rsidRPr="006846AE">
                <w:rPr>
                  <w:rFonts w:eastAsia="Malgun Gothic"/>
                  <w:noProof/>
                  <w:sz w:val="18"/>
                </w:rPr>
                <w:t>5</w:t>
              </w:r>
            </w:ins>
          </w:p>
        </w:tc>
        <w:tc>
          <w:tcPr>
            <w:tcW w:w="2838" w:type="dxa"/>
            <w:tcBorders>
              <w:right w:val="single" w:sz="12" w:space="0" w:color="auto"/>
            </w:tcBorders>
            <w:shd w:val="clear" w:color="auto" w:fill="auto"/>
            <w:vAlign w:val="bottom"/>
          </w:tcPr>
          <w:p w14:paraId="7F1FF5DB" w14:textId="77777777" w:rsidR="00DA243E" w:rsidRPr="006846AE" w:rsidRDefault="00DA243E" w:rsidP="00DA243E">
            <w:pPr>
              <w:keepNext/>
              <w:keepLines/>
              <w:spacing w:before="20" w:after="20"/>
              <w:jc w:val="center"/>
              <w:rPr>
                <w:ins w:id="140" w:author="Author"/>
                <w:rFonts w:eastAsia="Malgun Gothic"/>
                <w:noProof/>
                <w:sz w:val="18"/>
              </w:rPr>
            </w:pPr>
            <w:ins w:id="141" w:author="Author">
              <w:r w:rsidRPr="006846AE">
                <w:rPr>
                  <w:rFonts w:eastAsia="Malgun Gothic"/>
                  <w:noProof/>
                  <w:sz w:val="18"/>
                </w:rPr>
                <w:t>17 &lt; BS &lt;= 19</w:t>
              </w:r>
            </w:ins>
          </w:p>
        </w:tc>
        <w:tc>
          <w:tcPr>
            <w:tcW w:w="710" w:type="dxa"/>
            <w:tcBorders>
              <w:left w:val="single" w:sz="12" w:space="0" w:color="auto"/>
            </w:tcBorders>
            <w:shd w:val="clear" w:color="auto" w:fill="auto"/>
          </w:tcPr>
          <w:p w14:paraId="0827BD7C" w14:textId="64BF2D7A" w:rsidR="00DA243E" w:rsidRPr="006846AE" w:rsidRDefault="00DA243E" w:rsidP="00DA243E">
            <w:pPr>
              <w:keepNext/>
              <w:keepLines/>
              <w:spacing w:beforeLines="20" w:before="48" w:afterLines="20" w:after="48"/>
              <w:jc w:val="center"/>
              <w:rPr>
                <w:ins w:id="142" w:author="Author"/>
                <w:rFonts w:eastAsia="Malgun Gothic"/>
                <w:noProof/>
                <w:sz w:val="18"/>
              </w:rPr>
            </w:pPr>
            <w:ins w:id="143" w:author="Author">
              <w:r>
                <w:rPr>
                  <w:rFonts w:eastAsia="Malgun Gothic"/>
                  <w:noProof/>
                  <w:sz w:val="18"/>
                </w:rPr>
                <w:t>21</w:t>
              </w:r>
            </w:ins>
          </w:p>
        </w:tc>
        <w:tc>
          <w:tcPr>
            <w:tcW w:w="2818" w:type="dxa"/>
            <w:tcBorders>
              <w:right w:val="single" w:sz="12" w:space="0" w:color="auto"/>
            </w:tcBorders>
            <w:shd w:val="clear" w:color="auto" w:fill="auto"/>
            <w:vAlign w:val="bottom"/>
          </w:tcPr>
          <w:p w14:paraId="779CF950" w14:textId="04E7E88E" w:rsidR="00DA243E" w:rsidRPr="006846AE" w:rsidRDefault="00DA243E" w:rsidP="00DA243E">
            <w:pPr>
              <w:keepNext/>
              <w:keepLines/>
              <w:spacing w:before="20" w:after="20"/>
              <w:jc w:val="center"/>
              <w:rPr>
                <w:ins w:id="144" w:author="Author"/>
                <w:rFonts w:eastAsia="Malgun Gothic"/>
                <w:noProof/>
                <w:sz w:val="18"/>
              </w:rPr>
            </w:pPr>
            <w:ins w:id="145" w:author="Author">
              <w:r w:rsidRPr="006846AE">
                <w:rPr>
                  <w:rFonts w:eastAsia="Malgun Gothic"/>
                  <w:noProof/>
                  <w:sz w:val="18"/>
                </w:rPr>
                <w:t>200 &lt; BS &lt;= 234</w:t>
              </w:r>
            </w:ins>
          </w:p>
        </w:tc>
      </w:tr>
      <w:tr w:rsidR="00DA243E" w:rsidRPr="006846AE" w14:paraId="2EB41D14" w14:textId="77777777" w:rsidTr="00110C6A">
        <w:trPr>
          <w:trHeight w:val="170"/>
          <w:jc w:val="center"/>
          <w:ins w:id="146" w:author="Author"/>
        </w:trPr>
        <w:tc>
          <w:tcPr>
            <w:tcW w:w="781" w:type="dxa"/>
            <w:tcBorders>
              <w:left w:val="single" w:sz="12" w:space="0" w:color="auto"/>
            </w:tcBorders>
            <w:shd w:val="clear" w:color="auto" w:fill="auto"/>
          </w:tcPr>
          <w:p w14:paraId="3BF321DD" w14:textId="77777777" w:rsidR="00DA243E" w:rsidRPr="006846AE" w:rsidRDefault="00DA243E" w:rsidP="00DA243E">
            <w:pPr>
              <w:keepNext/>
              <w:keepLines/>
              <w:spacing w:beforeLines="20" w:before="48" w:afterLines="20" w:after="48"/>
              <w:jc w:val="center"/>
              <w:rPr>
                <w:ins w:id="147" w:author="Author"/>
                <w:rFonts w:eastAsia="Malgun Gothic"/>
                <w:noProof/>
                <w:sz w:val="18"/>
              </w:rPr>
            </w:pPr>
            <w:ins w:id="148" w:author="Author">
              <w:r w:rsidRPr="006846AE">
                <w:rPr>
                  <w:rFonts w:eastAsia="Malgun Gothic"/>
                  <w:noProof/>
                  <w:sz w:val="18"/>
                </w:rPr>
                <w:t>6</w:t>
              </w:r>
            </w:ins>
          </w:p>
        </w:tc>
        <w:tc>
          <w:tcPr>
            <w:tcW w:w="2838" w:type="dxa"/>
            <w:tcBorders>
              <w:right w:val="single" w:sz="12" w:space="0" w:color="auto"/>
            </w:tcBorders>
            <w:shd w:val="clear" w:color="auto" w:fill="auto"/>
            <w:vAlign w:val="bottom"/>
          </w:tcPr>
          <w:p w14:paraId="7966F80B" w14:textId="77777777" w:rsidR="00DA243E" w:rsidRPr="006846AE" w:rsidRDefault="00DA243E" w:rsidP="00DA243E">
            <w:pPr>
              <w:keepNext/>
              <w:keepLines/>
              <w:spacing w:before="20" w:after="20"/>
              <w:jc w:val="center"/>
              <w:rPr>
                <w:ins w:id="149" w:author="Author"/>
                <w:rFonts w:eastAsia="Malgun Gothic"/>
                <w:noProof/>
                <w:sz w:val="18"/>
              </w:rPr>
            </w:pPr>
            <w:ins w:id="150" w:author="Author">
              <w:r w:rsidRPr="006846AE">
                <w:rPr>
                  <w:rFonts w:eastAsia="Malgun Gothic"/>
                  <w:noProof/>
                  <w:sz w:val="18"/>
                </w:rPr>
                <w:t>19 &lt; BS &lt;= 22</w:t>
              </w:r>
            </w:ins>
          </w:p>
        </w:tc>
        <w:tc>
          <w:tcPr>
            <w:tcW w:w="710" w:type="dxa"/>
            <w:tcBorders>
              <w:left w:val="single" w:sz="12" w:space="0" w:color="auto"/>
            </w:tcBorders>
            <w:shd w:val="clear" w:color="auto" w:fill="auto"/>
          </w:tcPr>
          <w:p w14:paraId="7E46B940" w14:textId="64AA4D59" w:rsidR="00DA243E" w:rsidRPr="006846AE" w:rsidRDefault="00DA243E" w:rsidP="00DA243E">
            <w:pPr>
              <w:keepNext/>
              <w:keepLines/>
              <w:spacing w:beforeLines="20" w:before="48" w:afterLines="20" w:after="48"/>
              <w:jc w:val="center"/>
              <w:rPr>
                <w:ins w:id="151" w:author="Author"/>
                <w:rFonts w:eastAsia="Malgun Gothic"/>
                <w:noProof/>
                <w:sz w:val="18"/>
              </w:rPr>
            </w:pPr>
            <w:ins w:id="152" w:author="Author">
              <w:r>
                <w:rPr>
                  <w:rFonts w:eastAsia="Malgun Gothic"/>
                  <w:noProof/>
                  <w:sz w:val="18"/>
                </w:rPr>
                <w:t>22</w:t>
              </w:r>
            </w:ins>
          </w:p>
        </w:tc>
        <w:tc>
          <w:tcPr>
            <w:tcW w:w="2818" w:type="dxa"/>
            <w:tcBorders>
              <w:right w:val="single" w:sz="12" w:space="0" w:color="auto"/>
            </w:tcBorders>
            <w:shd w:val="clear" w:color="auto" w:fill="auto"/>
            <w:vAlign w:val="bottom"/>
          </w:tcPr>
          <w:p w14:paraId="7A3DC4CE" w14:textId="4FD14190" w:rsidR="00DA243E" w:rsidRPr="006846AE" w:rsidRDefault="00DA243E" w:rsidP="00DA243E">
            <w:pPr>
              <w:keepNext/>
              <w:keepLines/>
              <w:spacing w:before="20" w:after="20"/>
              <w:jc w:val="center"/>
              <w:rPr>
                <w:ins w:id="153" w:author="Author"/>
                <w:rFonts w:eastAsia="Malgun Gothic"/>
                <w:noProof/>
                <w:sz w:val="18"/>
              </w:rPr>
            </w:pPr>
            <w:ins w:id="154" w:author="Author">
              <w:r w:rsidRPr="006846AE">
                <w:rPr>
                  <w:rFonts w:eastAsia="Malgun Gothic"/>
                  <w:noProof/>
                  <w:sz w:val="18"/>
                </w:rPr>
                <w:t>234 &lt; BS &lt;= 274</w:t>
              </w:r>
            </w:ins>
          </w:p>
        </w:tc>
      </w:tr>
      <w:tr w:rsidR="00DA243E" w:rsidRPr="006846AE" w14:paraId="3F00CA18" w14:textId="77777777" w:rsidTr="00110C6A">
        <w:trPr>
          <w:trHeight w:val="170"/>
          <w:jc w:val="center"/>
          <w:ins w:id="155" w:author="Author"/>
        </w:trPr>
        <w:tc>
          <w:tcPr>
            <w:tcW w:w="781" w:type="dxa"/>
            <w:tcBorders>
              <w:left w:val="single" w:sz="12" w:space="0" w:color="auto"/>
            </w:tcBorders>
            <w:shd w:val="clear" w:color="auto" w:fill="auto"/>
          </w:tcPr>
          <w:p w14:paraId="4ECC670D" w14:textId="77777777" w:rsidR="00DA243E" w:rsidRPr="006846AE" w:rsidRDefault="00DA243E" w:rsidP="00DA243E">
            <w:pPr>
              <w:keepNext/>
              <w:keepLines/>
              <w:spacing w:beforeLines="20" w:before="48" w:afterLines="20" w:after="48"/>
              <w:jc w:val="center"/>
              <w:rPr>
                <w:ins w:id="156" w:author="Author"/>
                <w:rFonts w:eastAsia="Malgun Gothic"/>
                <w:noProof/>
                <w:sz w:val="18"/>
              </w:rPr>
            </w:pPr>
            <w:ins w:id="157" w:author="Author">
              <w:r w:rsidRPr="006846AE">
                <w:rPr>
                  <w:rFonts w:eastAsia="Malgun Gothic"/>
                  <w:noProof/>
                  <w:sz w:val="18"/>
                </w:rPr>
                <w:t>7</w:t>
              </w:r>
            </w:ins>
          </w:p>
        </w:tc>
        <w:tc>
          <w:tcPr>
            <w:tcW w:w="2838" w:type="dxa"/>
            <w:tcBorders>
              <w:right w:val="single" w:sz="12" w:space="0" w:color="auto"/>
            </w:tcBorders>
            <w:shd w:val="clear" w:color="auto" w:fill="auto"/>
            <w:vAlign w:val="bottom"/>
          </w:tcPr>
          <w:p w14:paraId="129A2EF3" w14:textId="77777777" w:rsidR="00DA243E" w:rsidRPr="006846AE" w:rsidRDefault="00DA243E" w:rsidP="00DA243E">
            <w:pPr>
              <w:keepNext/>
              <w:keepLines/>
              <w:spacing w:before="20" w:after="20"/>
              <w:jc w:val="center"/>
              <w:rPr>
                <w:ins w:id="158" w:author="Author"/>
                <w:rFonts w:eastAsia="Malgun Gothic"/>
                <w:noProof/>
                <w:sz w:val="18"/>
              </w:rPr>
            </w:pPr>
            <w:ins w:id="159" w:author="Author">
              <w:r w:rsidRPr="006846AE">
                <w:rPr>
                  <w:rFonts w:eastAsia="Malgun Gothic"/>
                  <w:noProof/>
                  <w:sz w:val="18"/>
                </w:rPr>
                <w:t>22 &lt; BS &lt;= 26</w:t>
              </w:r>
            </w:ins>
          </w:p>
        </w:tc>
        <w:tc>
          <w:tcPr>
            <w:tcW w:w="710" w:type="dxa"/>
            <w:tcBorders>
              <w:left w:val="single" w:sz="12" w:space="0" w:color="auto"/>
            </w:tcBorders>
            <w:shd w:val="clear" w:color="auto" w:fill="auto"/>
          </w:tcPr>
          <w:p w14:paraId="4007CFDB" w14:textId="5A4DFBE3" w:rsidR="00DA243E" w:rsidRPr="006846AE" w:rsidRDefault="00DA243E" w:rsidP="00DA243E">
            <w:pPr>
              <w:keepNext/>
              <w:keepLines/>
              <w:spacing w:beforeLines="20" w:before="48" w:afterLines="20" w:after="48"/>
              <w:jc w:val="center"/>
              <w:rPr>
                <w:ins w:id="160" w:author="Author"/>
                <w:rFonts w:eastAsia="Malgun Gothic"/>
                <w:noProof/>
                <w:sz w:val="18"/>
              </w:rPr>
            </w:pPr>
            <w:ins w:id="161" w:author="Author">
              <w:r>
                <w:rPr>
                  <w:rFonts w:eastAsia="Malgun Gothic"/>
                  <w:noProof/>
                  <w:sz w:val="18"/>
                </w:rPr>
                <w:t>23</w:t>
              </w:r>
            </w:ins>
          </w:p>
        </w:tc>
        <w:tc>
          <w:tcPr>
            <w:tcW w:w="2818" w:type="dxa"/>
            <w:tcBorders>
              <w:right w:val="single" w:sz="12" w:space="0" w:color="auto"/>
            </w:tcBorders>
            <w:shd w:val="clear" w:color="auto" w:fill="auto"/>
            <w:vAlign w:val="bottom"/>
          </w:tcPr>
          <w:p w14:paraId="06BDEB84" w14:textId="29CD1113" w:rsidR="00DA243E" w:rsidRPr="006846AE" w:rsidRDefault="00DA243E" w:rsidP="00DA243E">
            <w:pPr>
              <w:keepNext/>
              <w:keepLines/>
              <w:spacing w:before="20" w:after="20"/>
              <w:jc w:val="center"/>
              <w:rPr>
                <w:ins w:id="162" w:author="Author"/>
                <w:rFonts w:eastAsia="Malgun Gothic"/>
                <w:noProof/>
                <w:sz w:val="18"/>
              </w:rPr>
            </w:pPr>
            <w:ins w:id="163" w:author="Author">
              <w:r w:rsidRPr="006846AE">
                <w:rPr>
                  <w:rFonts w:eastAsia="Malgun Gothic"/>
                  <w:noProof/>
                  <w:sz w:val="18"/>
                </w:rPr>
                <w:t>274 &lt; BS &lt;= 321</w:t>
              </w:r>
            </w:ins>
          </w:p>
        </w:tc>
      </w:tr>
      <w:tr w:rsidR="00DA243E" w:rsidRPr="006846AE" w14:paraId="0F3DFB3D" w14:textId="77777777" w:rsidTr="00110C6A">
        <w:trPr>
          <w:trHeight w:val="170"/>
          <w:jc w:val="center"/>
          <w:ins w:id="164" w:author="Author"/>
        </w:trPr>
        <w:tc>
          <w:tcPr>
            <w:tcW w:w="781" w:type="dxa"/>
            <w:tcBorders>
              <w:left w:val="single" w:sz="12" w:space="0" w:color="auto"/>
            </w:tcBorders>
            <w:shd w:val="clear" w:color="auto" w:fill="auto"/>
          </w:tcPr>
          <w:p w14:paraId="1C55DBD4" w14:textId="77777777" w:rsidR="00DA243E" w:rsidRPr="006846AE" w:rsidRDefault="00DA243E" w:rsidP="00DA243E">
            <w:pPr>
              <w:keepNext/>
              <w:keepLines/>
              <w:spacing w:beforeLines="20" w:before="48" w:afterLines="20" w:after="48"/>
              <w:jc w:val="center"/>
              <w:rPr>
                <w:ins w:id="165" w:author="Author"/>
                <w:rFonts w:eastAsia="Malgun Gothic"/>
                <w:noProof/>
                <w:sz w:val="18"/>
              </w:rPr>
            </w:pPr>
            <w:ins w:id="166" w:author="Author">
              <w:r w:rsidRPr="006846AE">
                <w:rPr>
                  <w:rFonts w:eastAsia="Malgun Gothic"/>
                  <w:noProof/>
                  <w:sz w:val="18"/>
                </w:rPr>
                <w:t>8</w:t>
              </w:r>
            </w:ins>
          </w:p>
        </w:tc>
        <w:tc>
          <w:tcPr>
            <w:tcW w:w="2838" w:type="dxa"/>
            <w:tcBorders>
              <w:right w:val="single" w:sz="12" w:space="0" w:color="auto"/>
            </w:tcBorders>
            <w:shd w:val="clear" w:color="auto" w:fill="auto"/>
            <w:vAlign w:val="bottom"/>
          </w:tcPr>
          <w:p w14:paraId="24DF1714" w14:textId="77777777" w:rsidR="00DA243E" w:rsidRPr="006846AE" w:rsidRDefault="00DA243E" w:rsidP="00DA243E">
            <w:pPr>
              <w:keepNext/>
              <w:keepLines/>
              <w:spacing w:before="20" w:after="20"/>
              <w:jc w:val="center"/>
              <w:rPr>
                <w:ins w:id="167" w:author="Author"/>
                <w:rFonts w:eastAsia="Malgun Gothic"/>
                <w:noProof/>
                <w:sz w:val="18"/>
              </w:rPr>
            </w:pPr>
            <w:ins w:id="168" w:author="Author">
              <w:r w:rsidRPr="006846AE">
                <w:rPr>
                  <w:rFonts w:eastAsia="Malgun Gothic"/>
                  <w:noProof/>
                  <w:sz w:val="18"/>
                </w:rPr>
                <w:t>26 &lt; BS &lt;= 31</w:t>
              </w:r>
            </w:ins>
          </w:p>
        </w:tc>
        <w:tc>
          <w:tcPr>
            <w:tcW w:w="710" w:type="dxa"/>
            <w:tcBorders>
              <w:left w:val="single" w:sz="12" w:space="0" w:color="auto"/>
            </w:tcBorders>
            <w:shd w:val="clear" w:color="auto" w:fill="auto"/>
          </w:tcPr>
          <w:p w14:paraId="1D85238C" w14:textId="4D9D3DE3" w:rsidR="00DA243E" w:rsidRPr="006846AE" w:rsidRDefault="00DA243E" w:rsidP="00DA243E">
            <w:pPr>
              <w:keepNext/>
              <w:keepLines/>
              <w:spacing w:beforeLines="20" w:before="48" w:afterLines="20" w:after="48"/>
              <w:jc w:val="center"/>
              <w:rPr>
                <w:ins w:id="169" w:author="Author"/>
                <w:rFonts w:eastAsia="Malgun Gothic"/>
                <w:noProof/>
                <w:sz w:val="18"/>
              </w:rPr>
            </w:pPr>
            <w:ins w:id="170" w:author="Author">
              <w:r>
                <w:rPr>
                  <w:rFonts w:eastAsia="Malgun Gothic"/>
                  <w:noProof/>
                  <w:sz w:val="18"/>
                </w:rPr>
                <w:t>24</w:t>
              </w:r>
            </w:ins>
          </w:p>
        </w:tc>
        <w:tc>
          <w:tcPr>
            <w:tcW w:w="2818" w:type="dxa"/>
            <w:tcBorders>
              <w:right w:val="single" w:sz="12" w:space="0" w:color="auto"/>
            </w:tcBorders>
            <w:shd w:val="clear" w:color="auto" w:fill="auto"/>
            <w:vAlign w:val="bottom"/>
          </w:tcPr>
          <w:p w14:paraId="17B17E10" w14:textId="3B14BEA0" w:rsidR="00DA243E" w:rsidRPr="006846AE" w:rsidRDefault="00DA243E" w:rsidP="00DA243E">
            <w:pPr>
              <w:keepNext/>
              <w:keepLines/>
              <w:spacing w:before="20" w:after="20"/>
              <w:jc w:val="center"/>
              <w:rPr>
                <w:ins w:id="171" w:author="Author"/>
                <w:rFonts w:eastAsia="Malgun Gothic"/>
                <w:noProof/>
                <w:sz w:val="18"/>
              </w:rPr>
            </w:pPr>
            <w:ins w:id="172" w:author="Author">
              <w:r w:rsidRPr="006846AE">
                <w:rPr>
                  <w:rFonts w:eastAsia="Malgun Gothic"/>
                  <w:noProof/>
                  <w:sz w:val="18"/>
                </w:rPr>
                <w:t>321 &lt; BS &lt;= 376</w:t>
              </w:r>
            </w:ins>
          </w:p>
        </w:tc>
      </w:tr>
      <w:tr w:rsidR="00DA243E" w:rsidRPr="006846AE" w14:paraId="74E9809D" w14:textId="77777777" w:rsidTr="00110C6A">
        <w:trPr>
          <w:trHeight w:val="170"/>
          <w:jc w:val="center"/>
          <w:ins w:id="173" w:author="Author"/>
        </w:trPr>
        <w:tc>
          <w:tcPr>
            <w:tcW w:w="781" w:type="dxa"/>
            <w:tcBorders>
              <w:left w:val="single" w:sz="12" w:space="0" w:color="auto"/>
            </w:tcBorders>
            <w:shd w:val="clear" w:color="auto" w:fill="auto"/>
          </w:tcPr>
          <w:p w14:paraId="57DC1B51" w14:textId="77777777" w:rsidR="00DA243E" w:rsidRPr="006846AE" w:rsidRDefault="00DA243E" w:rsidP="00DA243E">
            <w:pPr>
              <w:keepNext/>
              <w:keepLines/>
              <w:spacing w:beforeLines="20" w:before="48" w:afterLines="20" w:after="48"/>
              <w:jc w:val="center"/>
              <w:rPr>
                <w:ins w:id="174" w:author="Author"/>
                <w:rFonts w:eastAsia="Malgun Gothic"/>
                <w:noProof/>
                <w:sz w:val="18"/>
              </w:rPr>
            </w:pPr>
            <w:ins w:id="175" w:author="Author">
              <w:r w:rsidRPr="006846AE">
                <w:rPr>
                  <w:rFonts w:eastAsia="Malgun Gothic"/>
                  <w:noProof/>
                  <w:sz w:val="18"/>
                </w:rPr>
                <w:t>9</w:t>
              </w:r>
            </w:ins>
          </w:p>
        </w:tc>
        <w:tc>
          <w:tcPr>
            <w:tcW w:w="2838" w:type="dxa"/>
            <w:tcBorders>
              <w:right w:val="single" w:sz="12" w:space="0" w:color="auto"/>
            </w:tcBorders>
            <w:shd w:val="clear" w:color="auto" w:fill="auto"/>
            <w:vAlign w:val="bottom"/>
          </w:tcPr>
          <w:p w14:paraId="3210C932" w14:textId="77777777" w:rsidR="00DA243E" w:rsidRPr="006846AE" w:rsidRDefault="00DA243E" w:rsidP="00DA243E">
            <w:pPr>
              <w:keepNext/>
              <w:keepLines/>
              <w:spacing w:before="20" w:after="20"/>
              <w:jc w:val="center"/>
              <w:rPr>
                <w:ins w:id="176" w:author="Author"/>
                <w:rFonts w:eastAsia="Malgun Gothic"/>
                <w:noProof/>
                <w:sz w:val="18"/>
              </w:rPr>
            </w:pPr>
            <w:ins w:id="177" w:author="Author">
              <w:r w:rsidRPr="006846AE">
                <w:rPr>
                  <w:rFonts w:eastAsia="Malgun Gothic"/>
                  <w:noProof/>
                  <w:sz w:val="18"/>
                </w:rPr>
                <w:t>31 &lt; BS &lt;= 36</w:t>
              </w:r>
            </w:ins>
          </w:p>
        </w:tc>
        <w:tc>
          <w:tcPr>
            <w:tcW w:w="710" w:type="dxa"/>
            <w:tcBorders>
              <w:left w:val="single" w:sz="12" w:space="0" w:color="auto"/>
            </w:tcBorders>
            <w:shd w:val="clear" w:color="auto" w:fill="auto"/>
          </w:tcPr>
          <w:p w14:paraId="490343AD" w14:textId="2A6EEEE5" w:rsidR="00DA243E" w:rsidRPr="006846AE" w:rsidRDefault="00DA243E" w:rsidP="00DA243E">
            <w:pPr>
              <w:keepNext/>
              <w:keepLines/>
              <w:spacing w:beforeLines="20" w:before="48" w:afterLines="20" w:after="48"/>
              <w:jc w:val="center"/>
              <w:rPr>
                <w:ins w:id="178" w:author="Author"/>
                <w:rFonts w:eastAsia="Malgun Gothic"/>
                <w:noProof/>
                <w:sz w:val="18"/>
              </w:rPr>
            </w:pPr>
            <w:ins w:id="179" w:author="Author">
              <w:r>
                <w:rPr>
                  <w:rFonts w:eastAsia="Malgun Gothic"/>
                  <w:noProof/>
                  <w:sz w:val="18"/>
                </w:rPr>
                <w:t>25</w:t>
              </w:r>
            </w:ins>
          </w:p>
        </w:tc>
        <w:tc>
          <w:tcPr>
            <w:tcW w:w="2818" w:type="dxa"/>
            <w:tcBorders>
              <w:right w:val="single" w:sz="12" w:space="0" w:color="auto"/>
            </w:tcBorders>
            <w:shd w:val="clear" w:color="auto" w:fill="auto"/>
            <w:vAlign w:val="bottom"/>
          </w:tcPr>
          <w:p w14:paraId="1D482CC0" w14:textId="25E1C6DC" w:rsidR="00DA243E" w:rsidRPr="006846AE" w:rsidRDefault="00DA243E" w:rsidP="00DA243E">
            <w:pPr>
              <w:keepNext/>
              <w:keepLines/>
              <w:spacing w:before="20" w:after="20"/>
              <w:jc w:val="center"/>
              <w:rPr>
                <w:ins w:id="180" w:author="Author"/>
                <w:rFonts w:eastAsia="Malgun Gothic"/>
                <w:noProof/>
                <w:sz w:val="18"/>
              </w:rPr>
            </w:pPr>
            <w:ins w:id="181" w:author="Author">
              <w:r w:rsidRPr="006846AE">
                <w:rPr>
                  <w:rFonts w:eastAsia="Malgun Gothic"/>
                  <w:noProof/>
                  <w:sz w:val="18"/>
                </w:rPr>
                <w:t>376 &lt; BS &lt;= 440</w:t>
              </w:r>
            </w:ins>
          </w:p>
        </w:tc>
      </w:tr>
      <w:tr w:rsidR="00DA243E" w:rsidRPr="006846AE" w14:paraId="76506DE2" w14:textId="77777777" w:rsidTr="00110C6A">
        <w:trPr>
          <w:trHeight w:val="170"/>
          <w:jc w:val="center"/>
          <w:ins w:id="182" w:author="Author"/>
        </w:trPr>
        <w:tc>
          <w:tcPr>
            <w:tcW w:w="781" w:type="dxa"/>
            <w:tcBorders>
              <w:left w:val="single" w:sz="12" w:space="0" w:color="auto"/>
            </w:tcBorders>
            <w:shd w:val="clear" w:color="auto" w:fill="auto"/>
          </w:tcPr>
          <w:p w14:paraId="3CF7F016" w14:textId="77777777" w:rsidR="00DA243E" w:rsidRPr="006846AE" w:rsidRDefault="00DA243E" w:rsidP="00DA243E">
            <w:pPr>
              <w:keepNext/>
              <w:keepLines/>
              <w:spacing w:beforeLines="20" w:before="48" w:afterLines="20" w:after="48"/>
              <w:jc w:val="center"/>
              <w:rPr>
                <w:ins w:id="183" w:author="Author"/>
                <w:rFonts w:eastAsia="Malgun Gothic"/>
                <w:noProof/>
                <w:sz w:val="18"/>
              </w:rPr>
            </w:pPr>
            <w:ins w:id="184" w:author="Author">
              <w:r w:rsidRPr="006846AE">
                <w:rPr>
                  <w:rFonts w:eastAsia="Malgun Gothic"/>
                  <w:noProof/>
                  <w:sz w:val="18"/>
                </w:rPr>
                <w:t>10</w:t>
              </w:r>
            </w:ins>
          </w:p>
        </w:tc>
        <w:tc>
          <w:tcPr>
            <w:tcW w:w="2838" w:type="dxa"/>
            <w:tcBorders>
              <w:right w:val="single" w:sz="12" w:space="0" w:color="auto"/>
            </w:tcBorders>
            <w:shd w:val="clear" w:color="auto" w:fill="auto"/>
            <w:vAlign w:val="bottom"/>
          </w:tcPr>
          <w:p w14:paraId="0EC248F2" w14:textId="77777777" w:rsidR="00DA243E" w:rsidRPr="006846AE" w:rsidRDefault="00DA243E" w:rsidP="00DA243E">
            <w:pPr>
              <w:keepNext/>
              <w:keepLines/>
              <w:spacing w:before="20" w:after="20"/>
              <w:jc w:val="center"/>
              <w:rPr>
                <w:ins w:id="185" w:author="Author"/>
                <w:rFonts w:eastAsia="Malgun Gothic"/>
                <w:noProof/>
                <w:sz w:val="18"/>
              </w:rPr>
            </w:pPr>
            <w:ins w:id="186" w:author="Author">
              <w:r w:rsidRPr="006846AE">
                <w:rPr>
                  <w:rFonts w:eastAsia="Malgun Gothic"/>
                  <w:noProof/>
                  <w:sz w:val="18"/>
                </w:rPr>
                <w:t>36 &lt; BS &lt;= 42</w:t>
              </w:r>
            </w:ins>
          </w:p>
        </w:tc>
        <w:tc>
          <w:tcPr>
            <w:tcW w:w="710" w:type="dxa"/>
            <w:tcBorders>
              <w:left w:val="single" w:sz="12" w:space="0" w:color="auto"/>
            </w:tcBorders>
            <w:shd w:val="clear" w:color="auto" w:fill="auto"/>
          </w:tcPr>
          <w:p w14:paraId="4E75344B" w14:textId="3836571E" w:rsidR="00DA243E" w:rsidRPr="006846AE" w:rsidRDefault="00DA243E" w:rsidP="00DA243E">
            <w:pPr>
              <w:keepNext/>
              <w:keepLines/>
              <w:spacing w:beforeLines="20" w:before="48" w:afterLines="20" w:after="48"/>
              <w:jc w:val="center"/>
              <w:rPr>
                <w:ins w:id="187" w:author="Author"/>
                <w:rFonts w:eastAsia="Malgun Gothic"/>
                <w:noProof/>
                <w:sz w:val="18"/>
              </w:rPr>
            </w:pPr>
            <w:ins w:id="188" w:author="Author">
              <w:r>
                <w:rPr>
                  <w:rFonts w:eastAsia="Malgun Gothic"/>
                  <w:noProof/>
                  <w:sz w:val="18"/>
                </w:rPr>
                <w:t>26</w:t>
              </w:r>
            </w:ins>
          </w:p>
        </w:tc>
        <w:tc>
          <w:tcPr>
            <w:tcW w:w="2818" w:type="dxa"/>
            <w:tcBorders>
              <w:right w:val="single" w:sz="12" w:space="0" w:color="auto"/>
            </w:tcBorders>
            <w:shd w:val="clear" w:color="auto" w:fill="auto"/>
            <w:vAlign w:val="bottom"/>
          </w:tcPr>
          <w:p w14:paraId="01640CEC" w14:textId="6196AB61" w:rsidR="00DA243E" w:rsidRPr="006846AE" w:rsidRDefault="00DA243E" w:rsidP="00DA243E">
            <w:pPr>
              <w:keepNext/>
              <w:keepLines/>
              <w:spacing w:before="20" w:after="20"/>
              <w:jc w:val="center"/>
              <w:rPr>
                <w:ins w:id="189" w:author="Author"/>
                <w:rFonts w:eastAsia="Malgun Gothic"/>
                <w:noProof/>
                <w:sz w:val="18"/>
              </w:rPr>
            </w:pPr>
            <w:ins w:id="190" w:author="Author">
              <w:r w:rsidRPr="006846AE">
                <w:rPr>
                  <w:rFonts w:eastAsia="Malgun Gothic"/>
                  <w:noProof/>
                  <w:sz w:val="18"/>
                </w:rPr>
                <w:t>440 &lt; BS &lt;= 515</w:t>
              </w:r>
            </w:ins>
          </w:p>
        </w:tc>
      </w:tr>
      <w:tr w:rsidR="00DA243E" w:rsidRPr="006846AE" w14:paraId="7185A195" w14:textId="77777777" w:rsidTr="00110C6A">
        <w:trPr>
          <w:trHeight w:val="170"/>
          <w:jc w:val="center"/>
          <w:ins w:id="191" w:author="Author"/>
        </w:trPr>
        <w:tc>
          <w:tcPr>
            <w:tcW w:w="781" w:type="dxa"/>
            <w:tcBorders>
              <w:left w:val="single" w:sz="12" w:space="0" w:color="auto"/>
            </w:tcBorders>
            <w:shd w:val="clear" w:color="auto" w:fill="auto"/>
          </w:tcPr>
          <w:p w14:paraId="06946121" w14:textId="77777777" w:rsidR="00DA243E" w:rsidRPr="006846AE" w:rsidRDefault="00DA243E" w:rsidP="00DA243E">
            <w:pPr>
              <w:keepNext/>
              <w:keepLines/>
              <w:spacing w:beforeLines="20" w:before="48" w:afterLines="20" w:after="48"/>
              <w:jc w:val="center"/>
              <w:rPr>
                <w:ins w:id="192" w:author="Author"/>
                <w:rFonts w:eastAsia="Malgun Gothic"/>
                <w:noProof/>
                <w:sz w:val="18"/>
              </w:rPr>
            </w:pPr>
            <w:ins w:id="193" w:author="Author">
              <w:r w:rsidRPr="006846AE">
                <w:rPr>
                  <w:rFonts w:eastAsia="Malgun Gothic"/>
                  <w:noProof/>
                  <w:sz w:val="18"/>
                </w:rPr>
                <w:t>11</w:t>
              </w:r>
            </w:ins>
          </w:p>
        </w:tc>
        <w:tc>
          <w:tcPr>
            <w:tcW w:w="2838" w:type="dxa"/>
            <w:tcBorders>
              <w:right w:val="single" w:sz="12" w:space="0" w:color="auto"/>
            </w:tcBorders>
            <w:shd w:val="clear" w:color="auto" w:fill="auto"/>
            <w:vAlign w:val="bottom"/>
          </w:tcPr>
          <w:p w14:paraId="055EEEE8" w14:textId="77777777" w:rsidR="00DA243E" w:rsidRPr="006846AE" w:rsidRDefault="00DA243E" w:rsidP="00DA243E">
            <w:pPr>
              <w:keepNext/>
              <w:keepLines/>
              <w:spacing w:before="20" w:after="20"/>
              <w:jc w:val="center"/>
              <w:rPr>
                <w:ins w:id="194" w:author="Author"/>
                <w:rFonts w:eastAsia="Malgun Gothic"/>
                <w:noProof/>
                <w:sz w:val="18"/>
              </w:rPr>
            </w:pPr>
            <w:ins w:id="195" w:author="Author">
              <w:r w:rsidRPr="006846AE">
                <w:rPr>
                  <w:rFonts w:eastAsia="Malgun Gothic"/>
                  <w:noProof/>
                  <w:sz w:val="18"/>
                </w:rPr>
                <w:t>42 &lt; BS &lt;= 49</w:t>
              </w:r>
            </w:ins>
          </w:p>
        </w:tc>
        <w:tc>
          <w:tcPr>
            <w:tcW w:w="710" w:type="dxa"/>
            <w:tcBorders>
              <w:left w:val="single" w:sz="12" w:space="0" w:color="auto"/>
            </w:tcBorders>
            <w:shd w:val="clear" w:color="auto" w:fill="auto"/>
          </w:tcPr>
          <w:p w14:paraId="25FFEB70" w14:textId="5734DE65" w:rsidR="00DA243E" w:rsidRPr="006846AE" w:rsidRDefault="00DA243E" w:rsidP="00DA243E">
            <w:pPr>
              <w:keepNext/>
              <w:keepLines/>
              <w:spacing w:beforeLines="20" w:before="48" w:afterLines="20" w:after="48"/>
              <w:jc w:val="center"/>
              <w:rPr>
                <w:ins w:id="196" w:author="Author"/>
                <w:rFonts w:eastAsia="Malgun Gothic"/>
                <w:noProof/>
                <w:sz w:val="18"/>
              </w:rPr>
            </w:pPr>
            <w:ins w:id="197" w:author="Author">
              <w:r>
                <w:rPr>
                  <w:rFonts w:eastAsia="Malgun Gothic"/>
                  <w:noProof/>
                  <w:sz w:val="18"/>
                </w:rPr>
                <w:t>27</w:t>
              </w:r>
            </w:ins>
          </w:p>
        </w:tc>
        <w:tc>
          <w:tcPr>
            <w:tcW w:w="2818" w:type="dxa"/>
            <w:tcBorders>
              <w:right w:val="single" w:sz="12" w:space="0" w:color="auto"/>
            </w:tcBorders>
            <w:shd w:val="clear" w:color="auto" w:fill="auto"/>
            <w:vAlign w:val="bottom"/>
          </w:tcPr>
          <w:p w14:paraId="65F7E128" w14:textId="6C3990B0" w:rsidR="00DA243E" w:rsidRPr="006846AE" w:rsidRDefault="00DA243E" w:rsidP="00DA243E">
            <w:pPr>
              <w:keepNext/>
              <w:keepLines/>
              <w:spacing w:before="20" w:after="20"/>
              <w:jc w:val="center"/>
              <w:rPr>
                <w:ins w:id="198" w:author="Author"/>
                <w:rFonts w:eastAsia="Malgun Gothic"/>
                <w:noProof/>
                <w:sz w:val="18"/>
              </w:rPr>
            </w:pPr>
            <w:ins w:id="199" w:author="Author">
              <w:r w:rsidRPr="006846AE">
                <w:rPr>
                  <w:rFonts w:eastAsia="Malgun Gothic"/>
                  <w:noProof/>
                  <w:sz w:val="18"/>
                </w:rPr>
                <w:t>515 &lt; BS &lt;= 603</w:t>
              </w:r>
            </w:ins>
          </w:p>
        </w:tc>
      </w:tr>
      <w:tr w:rsidR="00DA243E" w:rsidRPr="006846AE" w14:paraId="51B3EBE8" w14:textId="77777777" w:rsidTr="00110C6A">
        <w:trPr>
          <w:trHeight w:val="170"/>
          <w:jc w:val="center"/>
          <w:ins w:id="200" w:author="Author"/>
        </w:trPr>
        <w:tc>
          <w:tcPr>
            <w:tcW w:w="781" w:type="dxa"/>
            <w:tcBorders>
              <w:left w:val="single" w:sz="12" w:space="0" w:color="auto"/>
            </w:tcBorders>
            <w:shd w:val="clear" w:color="auto" w:fill="auto"/>
          </w:tcPr>
          <w:p w14:paraId="2E94BA1B" w14:textId="77777777" w:rsidR="00DA243E" w:rsidRPr="006846AE" w:rsidRDefault="00DA243E" w:rsidP="00DA243E">
            <w:pPr>
              <w:keepNext/>
              <w:keepLines/>
              <w:spacing w:beforeLines="20" w:before="48" w:afterLines="20" w:after="48"/>
              <w:jc w:val="center"/>
              <w:rPr>
                <w:ins w:id="201" w:author="Author"/>
                <w:rFonts w:eastAsia="Malgun Gothic"/>
                <w:noProof/>
                <w:sz w:val="18"/>
              </w:rPr>
            </w:pPr>
            <w:ins w:id="202" w:author="Author">
              <w:r w:rsidRPr="006846AE">
                <w:rPr>
                  <w:rFonts w:eastAsia="Malgun Gothic"/>
                  <w:noProof/>
                  <w:sz w:val="18"/>
                </w:rPr>
                <w:t>12</w:t>
              </w:r>
            </w:ins>
          </w:p>
        </w:tc>
        <w:tc>
          <w:tcPr>
            <w:tcW w:w="2838" w:type="dxa"/>
            <w:tcBorders>
              <w:right w:val="single" w:sz="12" w:space="0" w:color="auto"/>
            </w:tcBorders>
            <w:shd w:val="clear" w:color="auto" w:fill="auto"/>
            <w:vAlign w:val="bottom"/>
          </w:tcPr>
          <w:p w14:paraId="1AB463B8" w14:textId="77777777" w:rsidR="00DA243E" w:rsidRPr="006846AE" w:rsidRDefault="00DA243E" w:rsidP="00DA243E">
            <w:pPr>
              <w:keepNext/>
              <w:keepLines/>
              <w:spacing w:before="20" w:after="20"/>
              <w:jc w:val="center"/>
              <w:rPr>
                <w:ins w:id="203" w:author="Author"/>
                <w:rFonts w:eastAsia="Malgun Gothic"/>
                <w:noProof/>
                <w:sz w:val="18"/>
              </w:rPr>
            </w:pPr>
            <w:ins w:id="204" w:author="Author">
              <w:r w:rsidRPr="006846AE">
                <w:rPr>
                  <w:rFonts w:eastAsia="Malgun Gothic"/>
                  <w:noProof/>
                  <w:sz w:val="18"/>
                </w:rPr>
                <w:t>49 &lt; BS &lt;= 57</w:t>
              </w:r>
            </w:ins>
          </w:p>
        </w:tc>
        <w:tc>
          <w:tcPr>
            <w:tcW w:w="710" w:type="dxa"/>
            <w:tcBorders>
              <w:left w:val="single" w:sz="12" w:space="0" w:color="auto"/>
            </w:tcBorders>
            <w:shd w:val="clear" w:color="auto" w:fill="auto"/>
          </w:tcPr>
          <w:p w14:paraId="15624F61" w14:textId="025EF55B" w:rsidR="00DA243E" w:rsidRPr="006846AE" w:rsidRDefault="00DA243E" w:rsidP="00DA243E">
            <w:pPr>
              <w:keepNext/>
              <w:keepLines/>
              <w:spacing w:beforeLines="20" w:before="48" w:afterLines="20" w:after="48"/>
              <w:jc w:val="center"/>
              <w:rPr>
                <w:ins w:id="205" w:author="Author"/>
                <w:rFonts w:eastAsia="Malgun Gothic"/>
                <w:noProof/>
                <w:sz w:val="18"/>
              </w:rPr>
            </w:pPr>
            <w:ins w:id="206" w:author="Author">
              <w:r>
                <w:rPr>
                  <w:rFonts w:eastAsia="Malgun Gothic"/>
                  <w:noProof/>
                  <w:sz w:val="18"/>
                </w:rPr>
                <w:t>28</w:t>
              </w:r>
            </w:ins>
          </w:p>
        </w:tc>
        <w:tc>
          <w:tcPr>
            <w:tcW w:w="2818" w:type="dxa"/>
            <w:tcBorders>
              <w:right w:val="single" w:sz="12" w:space="0" w:color="auto"/>
            </w:tcBorders>
            <w:shd w:val="clear" w:color="auto" w:fill="auto"/>
            <w:vAlign w:val="bottom"/>
          </w:tcPr>
          <w:p w14:paraId="778C054A" w14:textId="777091B7" w:rsidR="00DA243E" w:rsidRPr="006846AE" w:rsidRDefault="00DA243E" w:rsidP="00DA243E">
            <w:pPr>
              <w:keepNext/>
              <w:keepLines/>
              <w:spacing w:before="20" w:after="20"/>
              <w:jc w:val="center"/>
              <w:rPr>
                <w:ins w:id="207" w:author="Author"/>
                <w:rFonts w:eastAsia="Malgun Gothic"/>
                <w:noProof/>
                <w:sz w:val="18"/>
              </w:rPr>
            </w:pPr>
            <w:ins w:id="208" w:author="Author">
              <w:r w:rsidRPr="006846AE">
                <w:rPr>
                  <w:rFonts w:eastAsia="Malgun Gothic"/>
                  <w:noProof/>
                  <w:sz w:val="18"/>
                </w:rPr>
                <w:t>603 &lt; BS &lt;= 706</w:t>
              </w:r>
            </w:ins>
          </w:p>
        </w:tc>
      </w:tr>
      <w:tr w:rsidR="00DA243E" w:rsidRPr="006846AE" w14:paraId="4A7BD01F" w14:textId="77777777" w:rsidTr="00110C6A">
        <w:trPr>
          <w:trHeight w:val="170"/>
          <w:jc w:val="center"/>
          <w:ins w:id="209" w:author="Author"/>
        </w:trPr>
        <w:tc>
          <w:tcPr>
            <w:tcW w:w="781" w:type="dxa"/>
            <w:tcBorders>
              <w:left w:val="single" w:sz="12" w:space="0" w:color="auto"/>
            </w:tcBorders>
            <w:shd w:val="clear" w:color="auto" w:fill="auto"/>
          </w:tcPr>
          <w:p w14:paraId="7E6DFF37" w14:textId="77777777" w:rsidR="00DA243E" w:rsidRPr="006846AE" w:rsidRDefault="00DA243E" w:rsidP="00DA243E">
            <w:pPr>
              <w:keepNext/>
              <w:keepLines/>
              <w:spacing w:beforeLines="20" w:before="48" w:afterLines="20" w:after="48"/>
              <w:jc w:val="center"/>
              <w:rPr>
                <w:ins w:id="210" w:author="Author"/>
                <w:rFonts w:eastAsia="Malgun Gothic"/>
                <w:noProof/>
                <w:sz w:val="18"/>
              </w:rPr>
            </w:pPr>
            <w:ins w:id="211" w:author="Author">
              <w:r w:rsidRPr="006846AE">
                <w:rPr>
                  <w:rFonts w:eastAsia="Malgun Gothic"/>
                  <w:noProof/>
                  <w:sz w:val="18"/>
                </w:rPr>
                <w:t>13</w:t>
              </w:r>
            </w:ins>
          </w:p>
        </w:tc>
        <w:tc>
          <w:tcPr>
            <w:tcW w:w="2838" w:type="dxa"/>
            <w:tcBorders>
              <w:right w:val="single" w:sz="12" w:space="0" w:color="auto"/>
            </w:tcBorders>
            <w:shd w:val="clear" w:color="auto" w:fill="auto"/>
            <w:vAlign w:val="bottom"/>
          </w:tcPr>
          <w:p w14:paraId="5CE4DC50" w14:textId="77777777" w:rsidR="00DA243E" w:rsidRPr="006846AE" w:rsidRDefault="00DA243E" w:rsidP="00DA243E">
            <w:pPr>
              <w:keepNext/>
              <w:keepLines/>
              <w:spacing w:before="20" w:after="20"/>
              <w:jc w:val="center"/>
              <w:rPr>
                <w:ins w:id="212" w:author="Author"/>
                <w:rFonts w:eastAsia="Malgun Gothic"/>
                <w:noProof/>
                <w:sz w:val="18"/>
              </w:rPr>
            </w:pPr>
            <w:ins w:id="213" w:author="Author">
              <w:r w:rsidRPr="006846AE">
                <w:rPr>
                  <w:rFonts w:eastAsia="Malgun Gothic"/>
                  <w:noProof/>
                  <w:sz w:val="18"/>
                </w:rPr>
                <w:t>57 &lt; BS &lt;= 67</w:t>
              </w:r>
            </w:ins>
          </w:p>
        </w:tc>
        <w:tc>
          <w:tcPr>
            <w:tcW w:w="710" w:type="dxa"/>
            <w:tcBorders>
              <w:left w:val="single" w:sz="12" w:space="0" w:color="auto"/>
            </w:tcBorders>
            <w:shd w:val="clear" w:color="auto" w:fill="auto"/>
          </w:tcPr>
          <w:p w14:paraId="52E4C24D" w14:textId="519F8613" w:rsidR="00DA243E" w:rsidRPr="006846AE" w:rsidRDefault="00DA243E" w:rsidP="00DA243E">
            <w:pPr>
              <w:keepNext/>
              <w:keepLines/>
              <w:spacing w:beforeLines="20" w:before="48" w:afterLines="20" w:after="48"/>
              <w:jc w:val="center"/>
              <w:rPr>
                <w:ins w:id="214" w:author="Author"/>
                <w:rFonts w:eastAsia="Malgun Gothic"/>
                <w:noProof/>
                <w:sz w:val="18"/>
              </w:rPr>
            </w:pPr>
            <w:ins w:id="215" w:author="Author">
              <w:r>
                <w:rPr>
                  <w:rFonts w:eastAsia="Malgun Gothic"/>
                  <w:noProof/>
                  <w:sz w:val="18"/>
                </w:rPr>
                <w:t>29</w:t>
              </w:r>
            </w:ins>
          </w:p>
        </w:tc>
        <w:tc>
          <w:tcPr>
            <w:tcW w:w="2818" w:type="dxa"/>
            <w:tcBorders>
              <w:right w:val="single" w:sz="12" w:space="0" w:color="auto"/>
            </w:tcBorders>
            <w:shd w:val="clear" w:color="auto" w:fill="auto"/>
            <w:vAlign w:val="bottom"/>
          </w:tcPr>
          <w:p w14:paraId="2CFEEAA0" w14:textId="34931B55" w:rsidR="00DA243E" w:rsidRPr="006846AE" w:rsidRDefault="00DA243E" w:rsidP="00DA243E">
            <w:pPr>
              <w:keepNext/>
              <w:keepLines/>
              <w:spacing w:before="20" w:after="20"/>
              <w:jc w:val="center"/>
              <w:rPr>
                <w:ins w:id="216" w:author="Author"/>
                <w:rFonts w:eastAsia="Malgun Gothic"/>
                <w:noProof/>
                <w:sz w:val="18"/>
              </w:rPr>
            </w:pPr>
            <w:ins w:id="217" w:author="Author">
              <w:r w:rsidRPr="006846AE">
                <w:rPr>
                  <w:rFonts w:eastAsia="Malgun Gothic"/>
                  <w:noProof/>
                  <w:sz w:val="18"/>
                </w:rPr>
                <w:t>706 &lt; BS &lt;= 826</w:t>
              </w:r>
            </w:ins>
          </w:p>
        </w:tc>
      </w:tr>
      <w:tr w:rsidR="00DA243E" w:rsidRPr="006846AE" w14:paraId="58DC0C0B" w14:textId="77777777" w:rsidTr="00110C6A">
        <w:trPr>
          <w:trHeight w:val="170"/>
          <w:jc w:val="center"/>
          <w:ins w:id="218" w:author="Author"/>
        </w:trPr>
        <w:tc>
          <w:tcPr>
            <w:tcW w:w="781" w:type="dxa"/>
            <w:tcBorders>
              <w:left w:val="single" w:sz="12" w:space="0" w:color="auto"/>
            </w:tcBorders>
            <w:shd w:val="clear" w:color="auto" w:fill="auto"/>
          </w:tcPr>
          <w:p w14:paraId="0AEC007E" w14:textId="77777777" w:rsidR="00DA243E" w:rsidRPr="006846AE" w:rsidRDefault="00DA243E" w:rsidP="00DA243E">
            <w:pPr>
              <w:keepNext/>
              <w:keepLines/>
              <w:spacing w:beforeLines="20" w:before="48" w:afterLines="20" w:after="48"/>
              <w:jc w:val="center"/>
              <w:rPr>
                <w:ins w:id="219" w:author="Author"/>
                <w:rFonts w:eastAsia="Malgun Gothic"/>
                <w:noProof/>
                <w:sz w:val="18"/>
              </w:rPr>
            </w:pPr>
            <w:ins w:id="220" w:author="Author">
              <w:r w:rsidRPr="006846AE">
                <w:rPr>
                  <w:rFonts w:eastAsia="Malgun Gothic"/>
                  <w:noProof/>
                  <w:sz w:val="18"/>
                </w:rPr>
                <w:t>14</w:t>
              </w:r>
            </w:ins>
          </w:p>
        </w:tc>
        <w:tc>
          <w:tcPr>
            <w:tcW w:w="2838" w:type="dxa"/>
            <w:tcBorders>
              <w:right w:val="single" w:sz="12" w:space="0" w:color="auto"/>
            </w:tcBorders>
            <w:shd w:val="clear" w:color="auto" w:fill="auto"/>
            <w:vAlign w:val="bottom"/>
          </w:tcPr>
          <w:p w14:paraId="1ADBA357" w14:textId="77777777" w:rsidR="00DA243E" w:rsidRPr="006846AE" w:rsidRDefault="00DA243E" w:rsidP="00DA243E">
            <w:pPr>
              <w:keepNext/>
              <w:keepLines/>
              <w:spacing w:before="20" w:after="20"/>
              <w:jc w:val="center"/>
              <w:rPr>
                <w:ins w:id="221" w:author="Author"/>
                <w:rFonts w:eastAsia="Malgun Gothic"/>
                <w:noProof/>
                <w:sz w:val="18"/>
              </w:rPr>
            </w:pPr>
            <w:ins w:id="222" w:author="Author">
              <w:r w:rsidRPr="006846AE">
                <w:rPr>
                  <w:rFonts w:eastAsia="Malgun Gothic"/>
                  <w:noProof/>
                  <w:sz w:val="18"/>
                </w:rPr>
                <w:t>67 &lt; BS &lt;= 78</w:t>
              </w:r>
            </w:ins>
          </w:p>
        </w:tc>
        <w:tc>
          <w:tcPr>
            <w:tcW w:w="710" w:type="dxa"/>
            <w:tcBorders>
              <w:left w:val="single" w:sz="12" w:space="0" w:color="auto"/>
            </w:tcBorders>
            <w:shd w:val="clear" w:color="auto" w:fill="auto"/>
          </w:tcPr>
          <w:p w14:paraId="7715F19B" w14:textId="78B8483C" w:rsidR="00DA243E" w:rsidRPr="006846AE" w:rsidRDefault="00DA243E" w:rsidP="00DA243E">
            <w:pPr>
              <w:keepNext/>
              <w:keepLines/>
              <w:spacing w:beforeLines="20" w:before="48" w:afterLines="20" w:after="48"/>
              <w:jc w:val="center"/>
              <w:rPr>
                <w:ins w:id="223" w:author="Author"/>
                <w:rFonts w:eastAsia="Malgun Gothic"/>
                <w:noProof/>
                <w:sz w:val="18"/>
              </w:rPr>
            </w:pPr>
            <w:ins w:id="224" w:author="Author">
              <w:r>
                <w:rPr>
                  <w:rFonts w:eastAsia="Malgun Gothic"/>
                  <w:noProof/>
                  <w:sz w:val="18"/>
                </w:rPr>
                <w:t>30</w:t>
              </w:r>
            </w:ins>
          </w:p>
        </w:tc>
        <w:tc>
          <w:tcPr>
            <w:tcW w:w="2818" w:type="dxa"/>
            <w:tcBorders>
              <w:right w:val="single" w:sz="12" w:space="0" w:color="auto"/>
            </w:tcBorders>
            <w:shd w:val="clear" w:color="auto" w:fill="auto"/>
            <w:vAlign w:val="bottom"/>
          </w:tcPr>
          <w:p w14:paraId="1FE2BF92" w14:textId="0A8C5D7B" w:rsidR="00DA243E" w:rsidRPr="006846AE" w:rsidRDefault="00DA243E" w:rsidP="00DA243E">
            <w:pPr>
              <w:keepNext/>
              <w:keepLines/>
              <w:spacing w:before="20" w:after="20"/>
              <w:jc w:val="center"/>
              <w:rPr>
                <w:ins w:id="225" w:author="Author"/>
                <w:rFonts w:eastAsia="Malgun Gothic"/>
                <w:noProof/>
                <w:sz w:val="18"/>
              </w:rPr>
            </w:pPr>
            <w:ins w:id="226" w:author="Author">
              <w:r w:rsidRPr="006846AE">
                <w:rPr>
                  <w:rFonts w:eastAsia="Malgun Gothic"/>
                  <w:noProof/>
                  <w:sz w:val="18"/>
                </w:rPr>
                <w:t>826 &lt; BS &lt;= 967</w:t>
              </w:r>
            </w:ins>
          </w:p>
        </w:tc>
      </w:tr>
      <w:tr w:rsidR="00DA243E" w:rsidRPr="006846AE" w14:paraId="67F0A692" w14:textId="77777777" w:rsidTr="00110C6A">
        <w:trPr>
          <w:trHeight w:val="170"/>
          <w:jc w:val="center"/>
          <w:ins w:id="227" w:author="Author"/>
        </w:trPr>
        <w:tc>
          <w:tcPr>
            <w:tcW w:w="781" w:type="dxa"/>
            <w:tcBorders>
              <w:left w:val="single" w:sz="12" w:space="0" w:color="auto"/>
            </w:tcBorders>
            <w:shd w:val="clear" w:color="auto" w:fill="auto"/>
          </w:tcPr>
          <w:p w14:paraId="0CC6F131" w14:textId="77777777" w:rsidR="00DA243E" w:rsidRPr="006846AE" w:rsidRDefault="00DA243E" w:rsidP="00DA243E">
            <w:pPr>
              <w:keepNext/>
              <w:keepLines/>
              <w:spacing w:beforeLines="20" w:before="48" w:afterLines="20" w:after="48"/>
              <w:jc w:val="center"/>
              <w:rPr>
                <w:ins w:id="228" w:author="Author"/>
                <w:rFonts w:eastAsia="Malgun Gothic"/>
                <w:noProof/>
                <w:sz w:val="18"/>
              </w:rPr>
            </w:pPr>
            <w:ins w:id="229" w:author="Author">
              <w:r w:rsidRPr="006846AE">
                <w:rPr>
                  <w:rFonts w:eastAsia="Malgun Gothic"/>
                  <w:noProof/>
                  <w:sz w:val="18"/>
                </w:rPr>
                <w:t>15</w:t>
              </w:r>
            </w:ins>
          </w:p>
        </w:tc>
        <w:tc>
          <w:tcPr>
            <w:tcW w:w="2838" w:type="dxa"/>
            <w:tcBorders>
              <w:right w:val="single" w:sz="12" w:space="0" w:color="auto"/>
            </w:tcBorders>
            <w:shd w:val="clear" w:color="auto" w:fill="auto"/>
            <w:vAlign w:val="bottom"/>
          </w:tcPr>
          <w:p w14:paraId="471FAD8E" w14:textId="77777777" w:rsidR="00DA243E" w:rsidRPr="006846AE" w:rsidRDefault="00DA243E" w:rsidP="00DA243E">
            <w:pPr>
              <w:keepNext/>
              <w:keepLines/>
              <w:spacing w:before="20" w:after="20"/>
              <w:jc w:val="center"/>
              <w:rPr>
                <w:ins w:id="230" w:author="Author"/>
                <w:rFonts w:eastAsia="Malgun Gothic"/>
                <w:noProof/>
                <w:sz w:val="18"/>
              </w:rPr>
            </w:pPr>
            <w:ins w:id="231" w:author="Author">
              <w:r w:rsidRPr="006846AE">
                <w:rPr>
                  <w:rFonts w:eastAsia="Malgun Gothic"/>
                  <w:noProof/>
                  <w:sz w:val="18"/>
                </w:rPr>
                <w:t>78 &lt; BS &lt;= 91</w:t>
              </w:r>
            </w:ins>
          </w:p>
        </w:tc>
        <w:tc>
          <w:tcPr>
            <w:tcW w:w="710" w:type="dxa"/>
            <w:tcBorders>
              <w:left w:val="single" w:sz="12" w:space="0" w:color="auto"/>
            </w:tcBorders>
            <w:shd w:val="clear" w:color="auto" w:fill="auto"/>
          </w:tcPr>
          <w:p w14:paraId="255208BD" w14:textId="773E47CC" w:rsidR="00DA243E" w:rsidRPr="006846AE" w:rsidRDefault="00DA243E" w:rsidP="00DA243E">
            <w:pPr>
              <w:keepNext/>
              <w:keepLines/>
              <w:spacing w:beforeLines="20" w:before="48" w:afterLines="20" w:after="48"/>
              <w:jc w:val="center"/>
              <w:rPr>
                <w:ins w:id="232" w:author="Author"/>
                <w:rFonts w:eastAsia="Malgun Gothic"/>
                <w:noProof/>
                <w:sz w:val="18"/>
              </w:rPr>
            </w:pPr>
            <w:ins w:id="233" w:author="Author">
              <w:r>
                <w:rPr>
                  <w:rFonts w:eastAsia="Malgun Gothic"/>
                  <w:noProof/>
                  <w:sz w:val="18"/>
                </w:rPr>
                <w:t>31</w:t>
              </w:r>
            </w:ins>
          </w:p>
        </w:tc>
        <w:tc>
          <w:tcPr>
            <w:tcW w:w="2818" w:type="dxa"/>
            <w:tcBorders>
              <w:right w:val="single" w:sz="12" w:space="0" w:color="auto"/>
            </w:tcBorders>
            <w:shd w:val="clear" w:color="auto" w:fill="auto"/>
            <w:vAlign w:val="bottom"/>
          </w:tcPr>
          <w:p w14:paraId="57260091" w14:textId="11FD0FDA" w:rsidR="00DA243E" w:rsidRPr="006846AE" w:rsidRDefault="00DA243E" w:rsidP="00DA243E">
            <w:pPr>
              <w:keepNext/>
              <w:keepLines/>
              <w:spacing w:before="20" w:after="20"/>
              <w:jc w:val="center"/>
              <w:rPr>
                <w:ins w:id="234" w:author="Author"/>
                <w:rFonts w:eastAsia="Malgun Gothic"/>
                <w:noProof/>
                <w:sz w:val="18"/>
              </w:rPr>
            </w:pPr>
            <w:ins w:id="235" w:author="Author">
              <w:r>
                <w:rPr>
                  <w:rFonts w:eastAsia="Malgun Gothic"/>
                  <w:noProof/>
                  <w:sz w:val="18"/>
                </w:rPr>
                <w:t>BS &gt; 967</w:t>
              </w:r>
            </w:ins>
          </w:p>
        </w:tc>
      </w:tr>
    </w:tbl>
    <w:p w14:paraId="454706EA" w14:textId="10FAF7E2" w:rsidR="00C01F33" w:rsidRDefault="00C01F33" w:rsidP="006E062C">
      <w:pPr>
        <w:rPr>
          <w:ins w:id="236" w:author="Author"/>
        </w:rPr>
      </w:pPr>
    </w:p>
    <w:p w14:paraId="07046010" w14:textId="77777777" w:rsidR="00385325" w:rsidRPr="00CE0424" w:rsidRDefault="00385325" w:rsidP="006E062C"/>
    <w:p w14:paraId="50E10FDB" w14:textId="77777777" w:rsidR="00F507D1" w:rsidRPr="00CE0424" w:rsidRDefault="00F507D1" w:rsidP="00CE0424">
      <w:pPr>
        <w:pStyle w:val="Heading1"/>
      </w:pPr>
      <w:bookmarkStart w:id="237" w:name="_In-sequence_SDU_delivery"/>
      <w:bookmarkEnd w:id="237"/>
      <w:r w:rsidRPr="00CE0424">
        <w:t>References</w:t>
      </w:r>
    </w:p>
    <w:p w14:paraId="5CD55DCA" w14:textId="300B7502" w:rsidR="00241510" w:rsidRDefault="00241510" w:rsidP="00241510">
      <w:pPr>
        <w:pStyle w:val="Reference"/>
      </w:pPr>
      <w:bookmarkStart w:id="238" w:name="_Ref174151459"/>
      <w:bookmarkStart w:id="239" w:name="_Ref189809556"/>
      <w:r>
        <w:t xml:space="preserve">R2-1711180, "Further aspects on BSR transmission and cancellation", Ericsson, RAN2#99bis, </w:t>
      </w:r>
      <w:r w:rsidRPr="00241510">
        <w:t>Prague, Czech Republic, 9th – 13th October 2017</w:t>
      </w:r>
    </w:p>
    <w:p w14:paraId="0390699A" w14:textId="562FDD0F" w:rsidR="00241510" w:rsidRDefault="00241510" w:rsidP="00241510">
      <w:pPr>
        <w:pStyle w:val="Reference"/>
      </w:pPr>
      <w:r>
        <w:t>R2-1711181, "Aspects of BSR format and tables",</w:t>
      </w:r>
      <w:r w:rsidRPr="00241510">
        <w:t xml:space="preserve"> </w:t>
      </w:r>
      <w:r>
        <w:t xml:space="preserve">Ericsson, RAN2#99bis, </w:t>
      </w:r>
      <w:r w:rsidRPr="00241510">
        <w:t>Prague, Czech Republic, 9th – 13th October 2017</w:t>
      </w:r>
    </w:p>
    <w:bookmarkEnd w:id="238"/>
    <w:bookmarkEnd w:id="239"/>
    <w:p w14:paraId="6111A781"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E9767" w14:textId="77777777" w:rsidR="00FF65D9" w:rsidRDefault="00FF65D9">
      <w:r>
        <w:separator/>
      </w:r>
    </w:p>
  </w:endnote>
  <w:endnote w:type="continuationSeparator" w:id="0">
    <w:p w14:paraId="43265BD0" w14:textId="77777777" w:rsidR="00FF65D9" w:rsidRDefault="00FF6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CDFD0" w14:textId="4CCE25AE" w:rsidR="00920BF2" w:rsidRDefault="00920BF2" w:rsidP="00313FD6">
    <w:pPr>
      <w:pStyle w:val="Footer"/>
      <w:tabs>
        <w:tab w:val="center" w:pos="4820"/>
        <w:tab w:val="right" w:pos="9639"/>
      </w:tabs>
      <w:jc w:val="left"/>
    </w:pPr>
    <w:del w:id="241" w:author="Author">
      <w:r w:rsidDel="00530D63">
        <w:tab/>
      </w:r>
      <w:r w:rsidDel="00530D63">
        <w:rPr>
          <w:rStyle w:val="PageNumber"/>
        </w:rPr>
        <w:fldChar w:fldCharType="begin"/>
      </w:r>
      <w:r w:rsidDel="00530D63">
        <w:rPr>
          <w:rStyle w:val="PageNumber"/>
        </w:rPr>
        <w:delInstrText xml:space="preserve"> PAGE </w:delInstrText>
      </w:r>
      <w:r w:rsidDel="00530D63">
        <w:rPr>
          <w:rStyle w:val="PageNumber"/>
        </w:rPr>
        <w:fldChar w:fldCharType="separate"/>
      </w:r>
      <w:r w:rsidR="00530D63" w:rsidDel="00530D63">
        <w:rPr>
          <w:rStyle w:val="PageNumber"/>
        </w:rPr>
        <w:delText>5</w:delText>
      </w:r>
      <w:r w:rsidDel="00530D63">
        <w:rPr>
          <w:rStyle w:val="PageNumber"/>
        </w:rPr>
        <w:fldChar w:fldCharType="end"/>
      </w:r>
      <w:r w:rsidDel="00530D63">
        <w:rPr>
          <w:rStyle w:val="PageNumber"/>
        </w:rPr>
        <w:delText>/</w:delText>
      </w:r>
      <w:r w:rsidDel="00530D63">
        <w:rPr>
          <w:rStyle w:val="PageNumber"/>
        </w:rPr>
        <w:fldChar w:fldCharType="begin"/>
      </w:r>
      <w:r w:rsidDel="00530D63">
        <w:rPr>
          <w:rStyle w:val="PageNumber"/>
        </w:rPr>
        <w:delInstrText xml:space="preserve"> NUMPAGES </w:delInstrText>
      </w:r>
      <w:r w:rsidDel="00530D63">
        <w:rPr>
          <w:rStyle w:val="PageNumber"/>
        </w:rPr>
        <w:fldChar w:fldCharType="separate"/>
      </w:r>
      <w:r w:rsidR="00530D63" w:rsidDel="00530D63">
        <w:rPr>
          <w:rStyle w:val="PageNumber"/>
        </w:rPr>
        <w:delText>5</w:delText>
      </w:r>
      <w:r w:rsidDel="00530D63">
        <w:rPr>
          <w:rStyle w:val="PageNumber"/>
        </w:rPr>
        <w:fldChar w:fldCharType="end"/>
      </w:r>
      <w:r w:rsidDel="00530D63">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ED1D2" w14:textId="77777777" w:rsidR="00FF65D9" w:rsidRDefault="00FF65D9">
      <w:r>
        <w:separator/>
      </w:r>
    </w:p>
  </w:footnote>
  <w:footnote w:type="continuationSeparator" w:id="0">
    <w:p w14:paraId="078C34D2" w14:textId="77777777" w:rsidR="00FF65D9" w:rsidRDefault="00FF6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D9C9A" w14:textId="3449ECDF" w:rsidR="00920BF2" w:rsidRDefault="00920BF2">
    <w:del w:id="240" w:author="Author">
      <w:r w:rsidDel="00530D63">
        <w:delText xml:space="preserve">Page </w:delText>
      </w:r>
      <w:r w:rsidDel="00530D63">
        <w:fldChar w:fldCharType="begin"/>
      </w:r>
      <w:r w:rsidDel="00530D63">
        <w:delInstrText>PAGE</w:delInstrText>
      </w:r>
      <w:r w:rsidDel="00530D63">
        <w:fldChar w:fldCharType="separate"/>
      </w:r>
      <w:r w:rsidDel="00530D63">
        <w:delText>4</w:delText>
      </w:r>
      <w:r w:rsidDel="00530D63">
        <w:fldChar w:fldCharType="end"/>
      </w:r>
      <w:r w:rsidDel="00530D63">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277"/>
    <w:rsid w:val="000006E1"/>
    <w:rsid w:val="00002A37"/>
    <w:rsid w:val="000039F4"/>
    <w:rsid w:val="00006446"/>
    <w:rsid w:val="00006896"/>
    <w:rsid w:val="00007CDC"/>
    <w:rsid w:val="00011B28"/>
    <w:rsid w:val="000157F7"/>
    <w:rsid w:val="00015D15"/>
    <w:rsid w:val="0002564D"/>
    <w:rsid w:val="00025ECA"/>
    <w:rsid w:val="000325B8"/>
    <w:rsid w:val="00034C15"/>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10"/>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40D"/>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325"/>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1D3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5C9C"/>
    <w:rsid w:val="00506557"/>
    <w:rsid w:val="0050677A"/>
    <w:rsid w:val="005108D8"/>
    <w:rsid w:val="005116F9"/>
    <w:rsid w:val="005153A7"/>
    <w:rsid w:val="005219CF"/>
    <w:rsid w:val="00530D63"/>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980"/>
    <w:rsid w:val="006C7522"/>
    <w:rsid w:val="006D6F08"/>
    <w:rsid w:val="006E062C"/>
    <w:rsid w:val="006E28B7"/>
    <w:rsid w:val="006E3310"/>
    <w:rsid w:val="006E4E39"/>
    <w:rsid w:val="006E565E"/>
    <w:rsid w:val="006E673D"/>
    <w:rsid w:val="006E7277"/>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E5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876"/>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C3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420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253"/>
    <w:rsid w:val="00D708B0"/>
    <w:rsid w:val="00D77B1D"/>
    <w:rsid w:val="00D8021F"/>
    <w:rsid w:val="00D80383"/>
    <w:rsid w:val="00D823C6"/>
    <w:rsid w:val="00D86CA3"/>
    <w:rsid w:val="00D871CE"/>
    <w:rsid w:val="00D9196D"/>
    <w:rsid w:val="00D92982"/>
    <w:rsid w:val="00DA243E"/>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65D9"/>
    <w:rsid w:val="00FF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68E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0D63"/>
    <w:pPr>
      <w:spacing w:after="160" w:line="259" w:lineRule="auto"/>
    </w:pPr>
    <w:rPr>
      <w:rFonts w:ascii="Arial" w:eastAsiaTheme="minorEastAsia" w:hAnsi="Arial" w:cstheme="minorBidi"/>
      <w:szCs w:val="22"/>
      <w:lang w:val="sv-SE" w:eastAsia="zh-CN"/>
    </w:rPr>
  </w:style>
  <w:style w:type="paragraph" w:styleId="Heading1">
    <w:name w:val="heading 1"/>
    <w:next w:val="Normal"/>
    <w:link w:val="Heading1Char"/>
    <w:qFormat/>
    <w:rsid w:val="004A1D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A1D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A1D3C"/>
    <w:pPr>
      <w:numPr>
        <w:ilvl w:val="2"/>
      </w:numPr>
      <w:spacing w:before="120"/>
      <w:outlineLvl w:val="2"/>
    </w:pPr>
    <w:rPr>
      <w:sz w:val="28"/>
      <w:szCs w:val="28"/>
    </w:rPr>
  </w:style>
  <w:style w:type="paragraph" w:styleId="Heading4">
    <w:name w:val="heading 4"/>
    <w:basedOn w:val="Heading3"/>
    <w:next w:val="Normal"/>
    <w:qFormat/>
    <w:rsid w:val="004A1D3C"/>
    <w:pPr>
      <w:numPr>
        <w:ilvl w:val="3"/>
      </w:numPr>
      <w:outlineLvl w:val="3"/>
    </w:pPr>
    <w:rPr>
      <w:sz w:val="24"/>
      <w:szCs w:val="24"/>
    </w:rPr>
  </w:style>
  <w:style w:type="paragraph" w:styleId="Heading5">
    <w:name w:val="heading 5"/>
    <w:basedOn w:val="Heading4"/>
    <w:next w:val="Normal"/>
    <w:qFormat/>
    <w:rsid w:val="004A1D3C"/>
    <w:pPr>
      <w:numPr>
        <w:ilvl w:val="4"/>
      </w:numPr>
      <w:outlineLvl w:val="4"/>
    </w:pPr>
    <w:rPr>
      <w:sz w:val="22"/>
      <w:szCs w:val="22"/>
    </w:rPr>
  </w:style>
  <w:style w:type="paragraph" w:styleId="Heading6">
    <w:name w:val="heading 6"/>
    <w:basedOn w:val="Normal"/>
    <w:next w:val="Normal"/>
    <w:qFormat/>
    <w:rsid w:val="004A1D3C"/>
    <w:pPr>
      <w:keepNext/>
      <w:keepLines/>
      <w:numPr>
        <w:ilvl w:val="5"/>
        <w:numId w:val="1"/>
      </w:numPr>
      <w:spacing w:before="120"/>
      <w:outlineLvl w:val="5"/>
    </w:pPr>
    <w:rPr>
      <w:rFonts w:cs="Arial"/>
    </w:rPr>
  </w:style>
  <w:style w:type="paragraph" w:styleId="Heading7">
    <w:name w:val="heading 7"/>
    <w:basedOn w:val="Normal"/>
    <w:next w:val="Normal"/>
    <w:qFormat/>
    <w:rsid w:val="004A1D3C"/>
    <w:pPr>
      <w:keepNext/>
      <w:keepLines/>
      <w:numPr>
        <w:ilvl w:val="6"/>
        <w:numId w:val="1"/>
      </w:numPr>
      <w:spacing w:before="120"/>
      <w:outlineLvl w:val="6"/>
    </w:pPr>
    <w:rPr>
      <w:rFonts w:cs="Arial"/>
    </w:rPr>
  </w:style>
  <w:style w:type="paragraph" w:styleId="Heading8">
    <w:name w:val="heading 8"/>
    <w:basedOn w:val="Heading7"/>
    <w:next w:val="Normal"/>
    <w:qFormat/>
    <w:rsid w:val="004A1D3C"/>
    <w:pPr>
      <w:numPr>
        <w:ilvl w:val="7"/>
      </w:numPr>
      <w:outlineLvl w:val="7"/>
    </w:pPr>
  </w:style>
  <w:style w:type="paragraph" w:styleId="Heading9">
    <w:name w:val="heading 9"/>
    <w:basedOn w:val="Heading8"/>
    <w:next w:val="Normal"/>
    <w:qFormat/>
    <w:rsid w:val="004A1D3C"/>
    <w:pPr>
      <w:numPr>
        <w:ilvl w:val="8"/>
      </w:numPr>
      <w:outlineLvl w:val="8"/>
    </w:pPr>
  </w:style>
  <w:style w:type="character" w:default="1" w:styleId="DefaultParagraphFont">
    <w:name w:val="Default Paragraph Font"/>
    <w:uiPriority w:val="1"/>
    <w:semiHidden/>
    <w:unhideWhenUsed/>
    <w:rsid w:val="00530D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D63"/>
  </w:style>
  <w:style w:type="paragraph" w:styleId="TOC8">
    <w:name w:val="toc 8"/>
    <w:basedOn w:val="TOC1"/>
    <w:semiHidden/>
    <w:rsid w:val="004A1D3C"/>
    <w:pPr>
      <w:spacing w:before="180"/>
      <w:ind w:left="2693" w:hanging="2693"/>
    </w:pPr>
    <w:rPr>
      <w:b w:val="0"/>
      <w:bCs/>
    </w:rPr>
  </w:style>
  <w:style w:type="paragraph" w:styleId="TOC1">
    <w:name w:val="toc 1"/>
    <w:aliases w:val="Observation TOC2"/>
    <w:uiPriority w:val="39"/>
    <w:rsid w:val="004A1D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A1D3C"/>
    <w:pPr>
      <w:keepNext/>
      <w:keepLines/>
      <w:spacing w:before="180"/>
      <w:jc w:val="center"/>
    </w:pPr>
  </w:style>
  <w:style w:type="paragraph" w:styleId="Caption">
    <w:name w:val="caption"/>
    <w:basedOn w:val="Normal"/>
    <w:next w:val="Normal"/>
    <w:qFormat/>
    <w:rsid w:val="004A1D3C"/>
    <w:pPr>
      <w:spacing w:after="240"/>
      <w:jc w:val="center"/>
    </w:pPr>
    <w:rPr>
      <w:b/>
      <w:bCs/>
    </w:rPr>
  </w:style>
  <w:style w:type="paragraph" w:styleId="TOC5">
    <w:name w:val="toc 5"/>
    <w:aliases w:val="Observation TOC"/>
    <w:basedOn w:val="TOC4"/>
    <w:semiHidden/>
    <w:rsid w:val="004A1D3C"/>
    <w:pPr>
      <w:tabs>
        <w:tab w:val="right" w:pos="1701"/>
      </w:tabs>
      <w:ind w:left="1701" w:hanging="1701"/>
    </w:pPr>
  </w:style>
  <w:style w:type="paragraph" w:styleId="TOC4">
    <w:name w:val="toc 4"/>
    <w:basedOn w:val="TOC3"/>
    <w:semiHidden/>
    <w:rsid w:val="004A1D3C"/>
    <w:pPr>
      <w:ind w:left="1418" w:hanging="1418"/>
    </w:pPr>
  </w:style>
  <w:style w:type="paragraph" w:styleId="TOC3">
    <w:name w:val="toc 3"/>
    <w:basedOn w:val="TOC2"/>
    <w:semiHidden/>
    <w:rsid w:val="004A1D3C"/>
    <w:pPr>
      <w:ind w:left="1134" w:hanging="1134"/>
    </w:pPr>
  </w:style>
  <w:style w:type="paragraph" w:styleId="TOC2">
    <w:name w:val="toc 2"/>
    <w:basedOn w:val="TOC1"/>
    <w:semiHidden/>
    <w:rsid w:val="004A1D3C"/>
    <w:pPr>
      <w:keepNext w:val="0"/>
      <w:spacing w:before="0"/>
      <w:ind w:left="851" w:hanging="851"/>
    </w:pPr>
    <w:rPr>
      <w:szCs w:val="20"/>
    </w:rPr>
  </w:style>
  <w:style w:type="paragraph" w:styleId="Index2">
    <w:name w:val="index 2"/>
    <w:basedOn w:val="Index1"/>
    <w:semiHidden/>
    <w:rsid w:val="004A1D3C"/>
    <w:pPr>
      <w:ind w:left="284"/>
    </w:pPr>
  </w:style>
  <w:style w:type="paragraph" w:styleId="Index1">
    <w:name w:val="index 1"/>
    <w:basedOn w:val="Normal"/>
    <w:semiHidden/>
    <w:rsid w:val="004A1D3C"/>
    <w:pPr>
      <w:keepLines/>
      <w:spacing w:after="0"/>
    </w:pPr>
  </w:style>
  <w:style w:type="paragraph" w:styleId="DocumentMap">
    <w:name w:val="Document Map"/>
    <w:basedOn w:val="Normal"/>
    <w:semiHidden/>
    <w:rsid w:val="004A1D3C"/>
    <w:pPr>
      <w:shd w:val="clear" w:color="auto" w:fill="000080"/>
    </w:pPr>
    <w:rPr>
      <w:rFonts w:ascii="Tahoma" w:hAnsi="Tahoma" w:cs="Tahoma"/>
    </w:rPr>
  </w:style>
  <w:style w:type="paragraph" w:styleId="ListNumber2">
    <w:name w:val="List Number 2"/>
    <w:basedOn w:val="ListNumber"/>
    <w:rsid w:val="004A1D3C"/>
    <w:pPr>
      <w:ind w:left="851"/>
    </w:pPr>
  </w:style>
  <w:style w:type="paragraph" w:styleId="ListNumber">
    <w:name w:val="List Number"/>
    <w:basedOn w:val="List"/>
    <w:rsid w:val="004A1D3C"/>
  </w:style>
  <w:style w:type="paragraph" w:styleId="List">
    <w:name w:val="List"/>
    <w:basedOn w:val="Normal"/>
    <w:rsid w:val="004A1D3C"/>
    <w:pPr>
      <w:ind w:left="568" w:hanging="284"/>
    </w:pPr>
  </w:style>
  <w:style w:type="paragraph" w:styleId="Header">
    <w:name w:val="header"/>
    <w:rsid w:val="004A1D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A1D3C"/>
    <w:rPr>
      <w:b/>
      <w:bCs/>
      <w:position w:val="6"/>
      <w:sz w:val="16"/>
      <w:szCs w:val="16"/>
    </w:rPr>
  </w:style>
  <w:style w:type="paragraph" w:styleId="FootnoteText">
    <w:name w:val="footnote text"/>
    <w:basedOn w:val="Normal"/>
    <w:semiHidden/>
    <w:rsid w:val="004A1D3C"/>
    <w:pPr>
      <w:keepLines/>
      <w:spacing w:after="0"/>
      <w:ind w:left="454" w:hanging="454"/>
    </w:pPr>
    <w:rPr>
      <w:sz w:val="16"/>
      <w:szCs w:val="16"/>
    </w:rPr>
  </w:style>
  <w:style w:type="paragraph" w:customStyle="1" w:styleId="3GPPHeader">
    <w:name w:val="3GPP_Header"/>
    <w:basedOn w:val="Normal"/>
    <w:rsid w:val="004A1D3C"/>
    <w:pPr>
      <w:tabs>
        <w:tab w:val="left" w:pos="1701"/>
        <w:tab w:val="right" w:pos="9639"/>
      </w:tabs>
      <w:spacing w:after="240"/>
    </w:pPr>
    <w:rPr>
      <w:b/>
      <w:sz w:val="24"/>
    </w:rPr>
  </w:style>
  <w:style w:type="paragraph" w:styleId="TOC9">
    <w:name w:val="toc 9"/>
    <w:basedOn w:val="TOC8"/>
    <w:semiHidden/>
    <w:rsid w:val="004A1D3C"/>
    <w:pPr>
      <w:ind w:left="1418" w:hanging="1418"/>
    </w:pPr>
  </w:style>
  <w:style w:type="paragraph" w:styleId="TOC6">
    <w:name w:val="toc 6"/>
    <w:basedOn w:val="TOC5"/>
    <w:next w:val="Normal"/>
    <w:semiHidden/>
    <w:rsid w:val="004A1D3C"/>
    <w:pPr>
      <w:ind w:left="1985" w:hanging="1985"/>
    </w:pPr>
  </w:style>
  <w:style w:type="paragraph" w:styleId="TOC7">
    <w:name w:val="toc 7"/>
    <w:basedOn w:val="TOC6"/>
    <w:next w:val="Normal"/>
    <w:semiHidden/>
    <w:rsid w:val="004A1D3C"/>
    <w:pPr>
      <w:ind w:left="2268" w:hanging="2268"/>
    </w:pPr>
  </w:style>
  <w:style w:type="paragraph" w:styleId="ListBullet2">
    <w:name w:val="List Bullet 2"/>
    <w:basedOn w:val="ListBullet"/>
    <w:rsid w:val="004A1D3C"/>
    <w:pPr>
      <w:numPr>
        <w:numId w:val="6"/>
      </w:numPr>
    </w:pPr>
  </w:style>
  <w:style w:type="paragraph" w:styleId="ListBullet">
    <w:name w:val="List Bullet"/>
    <w:basedOn w:val="BodyText"/>
    <w:rsid w:val="004A1D3C"/>
    <w:pPr>
      <w:numPr>
        <w:numId w:val="5"/>
      </w:numPr>
    </w:pPr>
  </w:style>
  <w:style w:type="paragraph" w:styleId="ListBullet3">
    <w:name w:val="List Bullet 3"/>
    <w:basedOn w:val="ListBullet2"/>
    <w:rsid w:val="004A1D3C"/>
    <w:pPr>
      <w:numPr>
        <w:numId w:val="7"/>
      </w:numPr>
    </w:pPr>
  </w:style>
  <w:style w:type="paragraph" w:customStyle="1" w:styleId="EQ">
    <w:name w:val="EQ"/>
    <w:basedOn w:val="Normal"/>
    <w:next w:val="Normal"/>
    <w:rsid w:val="004A1D3C"/>
    <w:pPr>
      <w:keepLines/>
      <w:tabs>
        <w:tab w:val="center" w:pos="4536"/>
        <w:tab w:val="right" w:pos="9072"/>
      </w:tabs>
      <w:spacing w:after="180"/>
    </w:pPr>
    <w:rPr>
      <w:noProof/>
      <w:lang w:eastAsia="en-US"/>
    </w:rPr>
  </w:style>
  <w:style w:type="paragraph" w:styleId="List2">
    <w:name w:val="List 2"/>
    <w:basedOn w:val="List"/>
    <w:rsid w:val="004A1D3C"/>
    <w:pPr>
      <w:ind w:left="851"/>
    </w:pPr>
  </w:style>
  <w:style w:type="paragraph" w:styleId="List3">
    <w:name w:val="List 3"/>
    <w:basedOn w:val="List2"/>
    <w:rsid w:val="004A1D3C"/>
    <w:pPr>
      <w:ind w:left="1135"/>
    </w:pPr>
  </w:style>
  <w:style w:type="paragraph" w:styleId="List4">
    <w:name w:val="List 4"/>
    <w:basedOn w:val="List3"/>
    <w:rsid w:val="004A1D3C"/>
    <w:pPr>
      <w:ind w:left="1418"/>
    </w:pPr>
  </w:style>
  <w:style w:type="paragraph" w:styleId="List5">
    <w:name w:val="List 5"/>
    <w:basedOn w:val="List4"/>
    <w:rsid w:val="004A1D3C"/>
    <w:pPr>
      <w:ind w:left="1702"/>
    </w:pPr>
  </w:style>
  <w:style w:type="paragraph" w:customStyle="1" w:styleId="EditorsNote">
    <w:name w:val="Editor's Note"/>
    <w:basedOn w:val="Normal"/>
    <w:rsid w:val="004A1D3C"/>
    <w:pPr>
      <w:keepLines/>
      <w:spacing w:after="180"/>
      <w:ind w:left="1135" w:hanging="851"/>
    </w:pPr>
    <w:rPr>
      <w:color w:val="FF0000"/>
      <w:lang w:eastAsia="en-US"/>
    </w:rPr>
  </w:style>
  <w:style w:type="paragraph" w:styleId="ListBullet4">
    <w:name w:val="List Bullet 4"/>
    <w:basedOn w:val="ListBullet3"/>
    <w:rsid w:val="004A1D3C"/>
    <w:pPr>
      <w:numPr>
        <w:numId w:val="8"/>
      </w:numPr>
    </w:pPr>
  </w:style>
  <w:style w:type="paragraph" w:styleId="ListBullet5">
    <w:name w:val="List Bullet 5"/>
    <w:basedOn w:val="ListBullet4"/>
    <w:rsid w:val="004A1D3C"/>
    <w:pPr>
      <w:numPr>
        <w:numId w:val="4"/>
      </w:numPr>
    </w:pPr>
  </w:style>
  <w:style w:type="paragraph" w:styleId="Footer">
    <w:name w:val="footer"/>
    <w:basedOn w:val="Header"/>
    <w:semiHidden/>
    <w:rsid w:val="004A1D3C"/>
    <w:pPr>
      <w:jc w:val="center"/>
    </w:pPr>
    <w:rPr>
      <w:i/>
      <w:iCs/>
    </w:rPr>
  </w:style>
  <w:style w:type="paragraph" w:customStyle="1" w:styleId="Reference">
    <w:name w:val="Reference"/>
    <w:basedOn w:val="Normal"/>
    <w:rsid w:val="004A1D3C"/>
    <w:pPr>
      <w:numPr>
        <w:numId w:val="2"/>
      </w:numPr>
    </w:pPr>
  </w:style>
  <w:style w:type="paragraph" w:styleId="BalloonText">
    <w:name w:val="Balloon Text"/>
    <w:basedOn w:val="Normal"/>
    <w:semiHidden/>
    <w:rsid w:val="004A1D3C"/>
    <w:rPr>
      <w:rFonts w:ascii="Tahoma" w:hAnsi="Tahoma" w:cs="Tahoma"/>
      <w:sz w:val="16"/>
      <w:szCs w:val="16"/>
    </w:rPr>
  </w:style>
  <w:style w:type="character" w:styleId="PageNumber">
    <w:name w:val="page number"/>
    <w:basedOn w:val="DefaultParagraphFont"/>
    <w:semiHidden/>
    <w:rsid w:val="004A1D3C"/>
  </w:style>
  <w:style w:type="paragraph" w:styleId="BodyText">
    <w:name w:val="Body Text"/>
    <w:basedOn w:val="Normal"/>
    <w:link w:val="BodyTextChar"/>
    <w:rsid w:val="004A1D3C"/>
  </w:style>
  <w:style w:type="character" w:styleId="Hyperlink">
    <w:name w:val="Hyperlink"/>
    <w:uiPriority w:val="99"/>
    <w:rsid w:val="004A1D3C"/>
    <w:rPr>
      <w:color w:val="0000FF"/>
      <w:u w:val="single"/>
      <w:lang w:val="en-GB"/>
    </w:rPr>
  </w:style>
  <w:style w:type="character" w:styleId="FollowedHyperlink">
    <w:name w:val="FollowedHyperlink"/>
    <w:semiHidden/>
    <w:rsid w:val="004A1D3C"/>
    <w:rPr>
      <w:color w:val="FF0000"/>
      <w:u w:val="single"/>
    </w:rPr>
  </w:style>
  <w:style w:type="character" w:styleId="CommentReference">
    <w:name w:val="annotation reference"/>
    <w:rsid w:val="004A1D3C"/>
    <w:rPr>
      <w:sz w:val="16"/>
      <w:szCs w:val="16"/>
    </w:rPr>
  </w:style>
  <w:style w:type="paragraph" w:styleId="CommentText">
    <w:name w:val="annotation text"/>
    <w:basedOn w:val="Normal"/>
    <w:link w:val="CommentTextChar"/>
    <w:rsid w:val="004A1D3C"/>
  </w:style>
  <w:style w:type="paragraph" w:styleId="CommentSubject">
    <w:name w:val="annotation subject"/>
    <w:basedOn w:val="CommentText"/>
    <w:next w:val="CommentText"/>
    <w:semiHidden/>
    <w:rsid w:val="004A1D3C"/>
    <w:rPr>
      <w:b/>
      <w:bCs/>
    </w:rPr>
  </w:style>
  <w:style w:type="character" w:customStyle="1" w:styleId="Heading1Char">
    <w:name w:val="Heading 1 Char"/>
    <w:link w:val="Heading1"/>
    <w:rsid w:val="004A1D3C"/>
    <w:rPr>
      <w:rFonts w:ascii="Arial" w:hAnsi="Arial" w:cs="Arial"/>
      <w:sz w:val="36"/>
      <w:szCs w:val="36"/>
      <w:lang w:val="en-GB" w:eastAsia="zh-CN"/>
    </w:rPr>
  </w:style>
  <w:style w:type="paragraph" w:customStyle="1" w:styleId="B1">
    <w:name w:val="B1"/>
    <w:basedOn w:val="List"/>
    <w:link w:val="B1Char"/>
    <w:rsid w:val="004A1D3C"/>
    <w:pPr>
      <w:spacing w:after="180"/>
    </w:pPr>
    <w:rPr>
      <w:lang w:eastAsia="en-US"/>
    </w:rPr>
  </w:style>
  <w:style w:type="paragraph" w:customStyle="1" w:styleId="B2">
    <w:name w:val="B2"/>
    <w:basedOn w:val="List2"/>
    <w:link w:val="B2Char"/>
    <w:rsid w:val="004A1D3C"/>
    <w:pPr>
      <w:spacing w:after="180"/>
    </w:pPr>
    <w:rPr>
      <w:lang w:eastAsia="en-US"/>
    </w:rPr>
  </w:style>
  <w:style w:type="paragraph" w:customStyle="1" w:styleId="B3">
    <w:name w:val="B3"/>
    <w:basedOn w:val="List3"/>
    <w:link w:val="B3Char"/>
    <w:rsid w:val="004A1D3C"/>
    <w:pPr>
      <w:spacing w:after="180"/>
    </w:pPr>
    <w:rPr>
      <w:lang w:eastAsia="en-US"/>
    </w:rPr>
  </w:style>
  <w:style w:type="paragraph" w:customStyle="1" w:styleId="B4">
    <w:name w:val="B4"/>
    <w:basedOn w:val="List4"/>
    <w:link w:val="B4Char"/>
    <w:rsid w:val="004A1D3C"/>
    <w:pPr>
      <w:spacing w:after="180"/>
    </w:pPr>
    <w:rPr>
      <w:lang w:eastAsia="en-US"/>
    </w:rPr>
  </w:style>
  <w:style w:type="paragraph" w:customStyle="1" w:styleId="Proposal">
    <w:name w:val="Proposal"/>
    <w:basedOn w:val="Normal"/>
    <w:rsid w:val="004A1D3C"/>
    <w:pPr>
      <w:numPr>
        <w:numId w:val="3"/>
      </w:numPr>
      <w:tabs>
        <w:tab w:val="clear" w:pos="1304"/>
        <w:tab w:val="left" w:pos="1701"/>
      </w:tabs>
      <w:ind w:left="1701" w:hanging="1701"/>
    </w:pPr>
    <w:rPr>
      <w:b/>
      <w:bCs/>
    </w:rPr>
  </w:style>
  <w:style w:type="character" w:customStyle="1" w:styleId="BodyTextChar">
    <w:name w:val="Body Text Char"/>
    <w:link w:val="BodyText"/>
    <w:rsid w:val="004A1D3C"/>
    <w:rPr>
      <w:rFonts w:ascii="Arial" w:hAnsi="Arial"/>
      <w:lang w:val="en-GB" w:eastAsia="zh-CN"/>
    </w:rPr>
  </w:style>
  <w:style w:type="paragraph" w:customStyle="1" w:styleId="B5">
    <w:name w:val="B5"/>
    <w:basedOn w:val="List5"/>
    <w:rsid w:val="004A1D3C"/>
    <w:pPr>
      <w:spacing w:after="180"/>
    </w:pPr>
    <w:rPr>
      <w:lang w:eastAsia="en-US"/>
    </w:rPr>
  </w:style>
  <w:style w:type="paragraph" w:customStyle="1" w:styleId="EX">
    <w:name w:val="EX"/>
    <w:basedOn w:val="Normal"/>
    <w:rsid w:val="004A1D3C"/>
    <w:pPr>
      <w:keepLines/>
      <w:spacing w:after="180"/>
      <w:ind w:left="1702" w:hanging="1418"/>
    </w:pPr>
    <w:rPr>
      <w:lang w:eastAsia="en-US"/>
    </w:rPr>
  </w:style>
  <w:style w:type="paragraph" w:customStyle="1" w:styleId="EW">
    <w:name w:val="EW"/>
    <w:basedOn w:val="EX"/>
    <w:rsid w:val="004A1D3C"/>
    <w:pPr>
      <w:spacing w:after="0"/>
    </w:pPr>
  </w:style>
  <w:style w:type="paragraph" w:customStyle="1" w:styleId="TAL">
    <w:name w:val="TAL"/>
    <w:basedOn w:val="Normal"/>
    <w:rsid w:val="004A1D3C"/>
    <w:pPr>
      <w:keepNext/>
      <w:keepLines/>
      <w:spacing w:after="0"/>
    </w:pPr>
    <w:rPr>
      <w:sz w:val="18"/>
      <w:lang w:eastAsia="en-US"/>
    </w:rPr>
  </w:style>
  <w:style w:type="paragraph" w:customStyle="1" w:styleId="TAC">
    <w:name w:val="TAC"/>
    <w:basedOn w:val="TAL"/>
    <w:rsid w:val="004A1D3C"/>
    <w:pPr>
      <w:jc w:val="center"/>
    </w:pPr>
  </w:style>
  <w:style w:type="paragraph" w:customStyle="1" w:styleId="TAH">
    <w:name w:val="TAH"/>
    <w:basedOn w:val="TAC"/>
    <w:rsid w:val="004A1D3C"/>
    <w:rPr>
      <w:b/>
    </w:rPr>
  </w:style>
  <w:style w:type="paragraph" w:customStyle="1" w:styleId="TAN">
    <w:name w:val="TAN"/>
    <w:basedOn w:val="TAL"/>
    <w:rsid w:val="004A1D3C"/>
    <w:pPr>
      <w:ind w:left="851" w:hanging="851"/>
    </w:pPr>
  </w:style>
  <w:style w:type="paragraph" w:customStyle="1" w:styleId="TAR">
    <w:name w:val="TAR"/>
    <w:basedOn w:val="TAL"/>
    <w:rsid w:val="004A1D3C"/>
    <w:pPr>
      <w:jc w:val="right"/>
    </w:pPr>
  </w:style>
  <w:style w:type="paragraph" w:customStyle="1" w:styleId="TH">
    <w:name w:val="TH"/>
    <w:basedOn w:val="Normal"/>
    <w:link w:val="THChar"/>
    <w:rsid w:val="004A1D3C"/>
    <w:pPr>
      <w:keepNext/>
      <w:keepLines/>
      <w:spacing w:before="60" w:after="180"/>
      <w:jc w:val="center"/>
    </w:pPr>
    <w:rPr>
      <w:b/>
      <w:lang w:eastAsia="en-US"/>
    </w:rPr>
  </w:style>
  <w:style w:type="paragraph" w:customStyle="1" w:styleId="TF">
    <w:name w:val="TF"/>
    <w:basedOn w:val="TH"/>
    <w:link w:val="TFChar"/>
    <w:rsid w:val="004A1D3C"/>
    <w:pPr>
      <w:keepNext w:val="0"/>
      <w:spacing w:before="0" w:after="240"/>
    </w:pPr>
  </w:style>
  <w:style w:type="paragraph" w:customStyle="1" w:styleId="TT">
    <w:name w:val="TT"/>
    <w:basedOn w:val="Heading1"/>
    <w:next w:val="Normal"/>
    <w:rsid w:val="004A1D3C"/>
    <w:pPr>
      <w:numPr>
        <w:numId w:val="0"/>
      </w:numPr>
      <w:ind w:left="1134" w:hanging="1134"/>
      <w:outlineLvl w:val="9"/>
    </w:pPr>
    <w:rPr>
      <w:rFonts w:cs="Times New Roman"/>
      <w:szCs w:val="20"/>
      <w:lang w:eastAsia="en-US"/>
    </w:rPr>
  </w:style>
  <w:style w:type="paragraph" w:customStyle="1" w:styleId="ZA">
    <w:name w:val="ZA"/>
    <w:rsid w:val="004A1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1D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1D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A1D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A1D3C"/>
  </w:style>
  <w:style w:type="paragraph" w:customStyle="1" w:styleId="ZH">
    <w:name w:val="ZH"/>
    <w:rsid w:val="004A1D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A1D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A1D3C"/>
    <w:pPr>
      <w:framePr w:hRule="auto" w:wrap="notBeside" w:y="852"/>
    </w:pPr>
    <w:rPr>
      <w:i w:val="0"/>
      <w:sz w:val="40"/>
    </w:rPr>
  </w:style>
  <w:style w:type="paragraph" w:customStyle="1" w:styleId="ZU">
    <w:name w:val="ZU"/>
    <w:rsid w:val="004A1D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1D3C"/>
    <w:pPr>
      <w:framePr w:wrap="notBeside" w:y="16161"/>
    </w:pPr>
  </w:style>
  <w:style w:type="paragraph" w:customStyle="1" w:styleId="FP">
    <w:name w:val="FP"/>
    <w:basedOn w:val="Normal"/>
    <w:rsid w:val="004A1D3C"/>
    <w:pPr>
      <w:spacing w:after="0"/>
    </w:pPr>
    <w:rPr>
      <w:lang w:eastAsia="en-US"/>
    </w:rPr>
  </w:style>
  <w:style w:type="paragraph" w:customStyle="1" w:styleId="Observation">
    <w:name w:val="Observation"/>
    <w:basedOn w:val="Proposal"/>
    <w:qFormat/>
    <w:rsid w:val="004A1D3C"/>
    <w:pPr>
      <w:numPr>
        <w:numId w:val="13"/>
      </w:numPr>
      <w:ind w:left="1701" w:hanging="1701"/>
    </w:pPr>
  </w:style>
  <w:style w:type="paragraph" w:styleId="TableofFigures">
    <w:name w:val="table of figures"/>
    <w:basedOn w:val="Normal"/>
    <w:next w:val="Normal"/>
    <w:uiPriority w:val="99"/>
    <w:rsid w:val="004A1D3C"/>
    <w:pPr>
      <w:ind w:left="1418" w:hanging="1418"/>
    </w:pPr>
    <w:rPr>
      <w:b/>
    </w:rPr>
  </w:style>
  <w:style w:type="paragraph" w:customStyle="1" w:styleId="Doc-text2">
    <w:name w:val="Doc-text2"/>
    <w:basedOn w:val="Normal"/>
    <w:link w:val="Doc-text2Char"/>
    <w:qFormat/>
    <w:rsid w:val="004A1D3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A1D3C"/>
    <w:rPr>
      <w:rFonts w:ascii="Arial" w:eastAsia="MS Mincho" w:hAnsi="Arial"/>
      <w:szCs w:val="24"/>
      <w:lang w:val="en-GB" w:eastAsia="en-GB"/>
    </w:rPr>
  </w:style>
  <w:style w:type="paragraph" w:customStyle="1" w:styleId="Guidance">
    <w:name w:val="Guidance"/>
    <w:basedOn w:val="Normal"/>
    <w:rsid w:val="00BA4205"/>
    <w:pPr>
      <w:spacing w:after="180"/>
    </w:pPr>
    <w:rPr>
      <w:rFonts w:ascii="Times New Roman" w:eastAsia="Malgun Gothic" w:hAnsi="Times New Roman"/>
      <w:i/>
      <w:color w:val="0000FF"/>
      <w:lang w:eastAsia="en-US"/>
    </w:rPr>
  </w:style>
  <w:style w:type="character" w:customStyle="1" w:styleId="CommentTextChar">
    <w:name w:val="Comment Text Char"/>
    <w:link w:val="CommentText"/>
    <w:rsid w:val="00BA4205"/>
    <w:rPr>
      <w:rFonts w:ascii="Arial" w:hAnsi="Arial"/>
      <w:lang w:val="en-GB" w:eastAsia="zh-CN"/>
    </w:rPr>
  </w:style>
  <w:style w:type="character" w:customStyle="1" w:styleId="B1Char">
    <w:name w:val="B1 Char"/>
    <w:link w:val="B1"/>
    <w:rsid w:val="00BA4205"/>
    <w:rPr>
      <w:rFonts w:ascii="Arial" w:hAnsi="Arial"/>
      <w:lang w:val="en-GB"/>
    </w:rPr>
  </w:style>
  <w:style w:type="character" w:customStyle="1" w:styleId="B2Char">
    <w:name w:val="B2 Char"/>
    <w:link w:val="B2"/>
    <w:rsid w:val="00BA4205"/>
    <w:rPr>
      <w:rFonts w:ascii="Arial" w:hAnsi="Arial"/>
      <w:lang w:val="en-GB"/>
    </w:rPr>
  </w:style>
  <w:style w:type="character" w:customStyle="1" w:styleId="B3Char">
    <w:name w:val="B3 Char"/>
    <w:link w:val="B3"/>
    <w:rsid w:val="00BA4205"/>
    <w:rPr>
      <w:rFonts w:ascii="Arial" w:hAnsi="Arial"/>
      <w:lang w:val="en-GB"/>
    </w:rPr>
  </w:style>
  <w:style w:type="character" w:customStyle="1" w:styleId="B4Char">
    <w:name w:val="B4 Char"/>
    <w:link w:val="B4"/>
    <w:rsid w:val="00BA4205"/>
    <w:rPr>
      <w:rFonts w:ascii="Arial" w:hAnsi="Arial"/>
      <w:lang w:val="en-GB"/>
    </w:rPr>
  </w:style>
  <w:style w:type="character" w:customStyle="1" w:styleId="TFChar">
    <w:name w:val="TF Char"/>
    <w:link w:val="TF"/>
    <w:rsid w:val="006C6980"/>
    <w:rPr>
      <w:rFonts w:ascii="Arial" w:hAnsi="Arial"/>
      <w:b/>
      <w:lang w:val="en-GB"/>
    </w:rPr>
  </w:style>
  <w:style w:type="character" w:customStyle="1" w:styleId="THChar">
    <w:name w:val="TH Char"/>
    <w:link w:val="TH"/>
    <w:rsid w:val="006C698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972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E9C26-C764-46B7-9B81-10B65CF2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1446</Words>
  <Characters>7669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2017-09-28T23:36:00Z</dcterms:created>
  <dcterms:modified xsi:type="dcterms:W3CDTF">2017-09-28T23:37:00Z</dcterms:modified>
</cp:coreProperties>
</file>